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7D328">
      <w:pPr>
        <w:spacing w:before="936" w:beforeLines="300" w:line="1000" w:lineRule="exact"/>
        <w:ind w:firstLine="0" w:firstLineChars="0"/>
        <w:jc w:val="center"/>
        <w:rPr>
          <w:rFonts w:ascii="Times New Roman" w:hAnsi="Times New Roman" w:eastAsia="方正大标宋简体" w:cs="Times New Roman"/>
          <w:spacing w:val="20"/>
          <w:sz w:val="64"/>
          <w:szCs w:val="64"/>
        </w:rPr>
      </w:pPr>
      <w:bookmarkStart w:id="0" w:name="_Toc119944657"/>
      <w:bookmarkStart w:id="1" w:name="_Toc73972884"/>
      <w:bookmarkStart w:id="2" w:name="_Toc73974814"/>
      <w:bookmarkStart w:id="3" w:name="_Toc73951466"/>
      <w:bookmarkStart w:id="4" w:name="_Toc29397"/>
      <w:bookmarkStart w:id="5" w:name="_Toc75438304"/>
      <w:bookmarkStart w:id="6" w:name="_Toc75418010"/>
      <w:bookmarkStart w:id="7" w:name="_Toc15399"/>
      <w:bookmarkStart w:id="8" w:name="_Toc29015"/>
      <w:bookmarkStart w:id="9" w:name="_Toc32582"/>
      <w:bookmarkStart w:id="10" w:name="_Toc78206393"/>
      <w:bookmarkStart w:id="11" w:name="_Toc1941"/>
      <w:bookmarkStart w:id="12" w:name="_Toc75437517"/>
      <w:bookmarkStart w:id="13" w:name="_Toc28468"/>
    </w:p>
    <w:p w14:paraId="09AF4A66">
      <w:pPr>
        <w:spacing w:before="936" w:beforeLines="300" w:line="1000" w:lineRule="exact"/>
        <w:ind w:firstLine="0" w:firstLineChars="0"/>
        <w:jc w:val="center"/>
        <w:outlineLvl w:val="0"/>
        <w:rPr>
          <w:rFonts w:ascii="Times New Roman" w:hAnsi="Times New Roman" w:eastAsia="方正大标宋简体" w:cs="Times New Roman"/>
          <w:spacing w:val="20"/>
          <w:sz w:val="64"/>
          <w:szCs w:val="64"/>
        </w:rPr>
      </w:pPr>
      <w:r>
        <w:rPr>
          <w:rFonts w:ascii="Times New Roman" w:hAnsi="Times New Roman" w:eastAsia="方正大标宋简体" w:cs="Times New Roman"/>
          <w:spacing w:val="20"/>
          <w:sz w:val="64"/>
          <w:szCs w:val="64"/>
        </w:rPr>
        <w:t>凤县</w:t>
      </w:r>
      <w:r>
        <w:rPr>
          <w:rFonts w:hint="eastAsia" w:ascii="Times New Roman" w:hAnsi="Times New Roman" w:eastAsia="方正大标宋简体" w:cs="Times New Roman"/>
          <w:spacing w:val="20"/>
          <w:sz w:val="64"/>
          <w:szCs w:val="64"/>
          <w:lang w:eastAsia="zh-CN"/>
        </w:rPr>
        <w:t>红花铺镇</w:t>
      </w:r>
      <w:r>
        <w:rPr>
          <w:rFonts w:ascii="Times New Roman" w:hAnsi="Times New Roman" w:eastAsia="方正大标宋简体" w:cs="Times New Roman"/>
          <w:spacing w:val="20"/>
          <w:sz w:val="64"/>
          <w:szCs w:val="64"/>
        </w:rPr>
        <w:t>国土空间规划</w:t>
      </w:r>
    </w:p>
    <w:p w14:paraId="4063D890">
      <w:pPr>
        <w:spacing w:line="1000" w:lineRule="exact"/>
        <w:ind w:firstLine="0" w:firstLineChars="0"/>
        <w:jc w:val="center"/>
        <w:rPr>
          <w:rFonts w:ascii="Times New Roman" w:hAnsi="Times New Roman" w:eastAsia="方正大标宋简体" w:cs="Times New Roman"/>
          <w:b/>
          <w:bCs/>
          <w:sz w:val="50"/>
          <w:szCs w:val="50"/>
        </w:rPr>
      </w:pPr>
      <w:r>
        <w:rPr>
          <w:rFonts w:ascii="Times New Roman" w:hAnsi="Times New Roman" w:eastAsia="方正大标宋简体" w:cs="Times New Roman"/>
          <w:b/>
          <w:bCs/>
          <w:sz w:val="50"/>
          <w:szCs w:val="50"/>
        </w:rPr>
        <w:t>（2021-2035年）</w:t>
      </w:r>
      <w:bookmarkEnd w:id="0"/>
      <w:bookmarkEnd w:id="1"/>
      <w:bookmarkEnd w:id="2"/>
      <w:bookmarkEnd w:id="3"/>
    </w:p>
    <w:p w14:paraId="00FB050E">
      <w:pPr>
        <w:pStyle w:val="2"/>
        <w:spacing w:afterLines="0" w:line="1000" w:lineRule="exact"/>
        <w:ind w:firstLine="0" w:firstLineChars="0"/>
        <w:jc w:val="center"/>
        <w:rPr>
          <w:rFonts w:eastAsia="方正小标宋简体" w:cs="Times New Roman"/>
          <w:sz w:val="64"/>
          <w:szCs w:val="64"/>
        </w:rPr>
      </w:pPr>
      <w:bookmarkStart w:id="14" w:name="_Toc119944658"/>
    </w:p>
    <w:bookmarkEnd w:id="4"/>
    <w:bookmarkEnd w:id="5"/>
    <w:bookmarkEnd w:id="6"/>
    <w:bookmarkEnd w:id="7"/>
    <w:bookmarkEnd w:id="8"/>
    <w:bookmarkEnd w:id="9"/>
    <w:bookmarkEnd w:id="10"/>
    <w:bookmarkEnd w:id="11"/>
    <w:bookmarkEnd w:id="12"/>
    <w:bookmarkEnd w:id="13"/>
    <w:bookmarkEnd w:id="14"/>
    <w:p w14:paraId="6A93CA4F">
      <w:pPr>
        <w:pStyle w:val="2"/>
        <w:spacing w:afterLines="0" w:line="1000" w:lineRule="exact"/>
        <w:ind w:firstLine="0" w:firstLineChars="0"/>
        <w:rPr>
          <w:rFonts w:eastAsia="方正大标宋简体" w:cs="Times New Roman"/>
          <w:sz w:val="64"/>
          <w:szCs w:val="64"/>
        </w:rPr>
      </w:pPr>
    </w:p>
    <w:p w14:paraId="28F8CF91">
      <w:pPr>
        <w:spacing w:after="120" w:line="240" w:lineRule="auto"/>
        <w:ind w:firstLine="0" w:firstLineChars="0"/>
        <w:jc w:val="center"/>
        <w:rPr>
          <w:rFonts w:ascii="Times New Roman" w:hAnsi="Times New Roman" w:eastAsia="楷体_GB2312" w:cs="Times New Roman"/>
          <w:bCs/>
          <w:sz w:val="32"/>
          <w:szCs w:val="32"/>
        </w:rPr>
      </w:pPr>
    </w:p>
    <w:p w14:paraId="056D1625">
      <w:pPr>
        <w:spacing w:after="120" w:line="240" w:lineRule="auto"/>
        <w:ind w:firstLine="0" w:firstLineChars="0"/>
        <w:jc w:val="center"/>
        <w:rPr>
          <w:rFonts w:ascii="Times New Roman" w:hAnsi="Times New Roman" w:eastAsia="楷体_GB2312" w:cs="Times New Roman"/>
          <w:bCs/>
          <w:sz w:val="32"/>
          <w:szCs w:val="32"/>
        </w:rPr>
      </w:pPr>
    </w:p>
    <w:p w14:paraId="5F383C47">
      <w:pPr>
        <w:pStyle w:val="21"/>
        <w:spacing w:after="156"/>
        <w:ind w:left="0" w:leftChars="0" w:firstLine="0" w:firstLineChars="0"/>
        <w:rPr>
          <w:rFonts w:cs="Times New Roman"/>
        </w:rPr>
      </w:pPr>
    </w:p>
    <w:p w14:paraId="2AA5BD01">
      <w:pPr>
        <w:ind w:firstLine="600"/>
        <w:rPr>
          <w:rFonts w:cs="Times New Roman"/>
        </w:rPr>
      </w:pPr>
    </w:p>
    <w:p w14:paraId="2C906151">
      <w:pPr>
        <w:pStyle w:val="2"/>
        <w:spacing w:after="156"/>
        <w:ind w:firstLine="560"/>
      </w:pPr>
    </w:p>
    <w:p w14:paraId="4D7DAC7E">
      <w:pPr>
        <w:pStyle w:val="26"/>
      </w:pPr>
    </w:p>
    <w:p w14:paraId="1259C00A">
      <w:pPr>
        <w:pStyle w:val="2"/>
      </w:pPr>
    </w:p>
    <w:p w14:paraId="040E8021">
      <w:pPr>
        <w:spacing w:after="120" w:line="240" w:lineRule="auto"/>
        <w:ind w:firstLine="0" w:firstLineChars="0"/>
        <w:jc w:val="center"/>
        <w:rPr>
          <w:rFonts w:ascii="Times New Roman" w:hAnsi="Times New Roman" w:eastAsia="楷体_GB2312" w:cs="Times New Roman"/>
          <w:bCs/>
          <w:sz w:val="32"/>
          <w:szCs w:val="32"/>
        </w:rPr>
      </w:pPr>
    </w:p>
    <w:p w14:paraId="5362BB60">
      <w:pPr>
        <w:pStyle w:val="21"/>
        <w:spacing w:after="156"/>
        <w:ind w:left="1160" w:hanging="560"/>
        <w:rPr>
          <w:rFonts w:cs="Times New Roman"/>
        </w:rPr>
      </w:pPr>
    </w:p>
    <w:p w14:paraId="0774616E">
      <w:pPr>
        <w:ind w:firstLine="0" w:firstLineChars="0"/>
        <w:jc w:val="center"/>
        <w:rPr>
          <w:rFonts w:ascii="Times New Roman" w:hAnsi="Times New Roman" w:eastAsia="微软雅黑" w:cs="Times New Roman"/>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ascii="Times New Roman" w:hAnsi="Times New Roman" w:eastAsia="方正大标宋简体" w:cs="Times New Roman"/>
          <w:spacing w:val="20"/>
          <w:sz w:val="36"/>
          <w:szCs w:val="36"/>
        </w:rPr>
        <w:t>凤县</w:t>
      </w:r>
      <w:r>
        <w:rPr>
          <w:rFonts w:hint="eastAsia" w:ascii="Times New Roman" w:hAnsi="Times New Roman" w:eastAsia="方正大标宋简体" w:cs="Times New Roman"/>
          <w:spacing w:val="20"/>
          <w:sz w:val="36"/>
          <w:szCs w:val="36"/>
          <w:lang w:eastAsia="zh-CN"/>
        </w:rPr>
        <w:t>红花铺镇</w:t>
      </w:r>
      <w:r>
        <w:rPr>
          <w:rFonts w:ascii="Times New Roman" w:hAnsi="Times New Roman" w:eastAsia="方正大标宋简体" w:cs="Times New Roman"/>
          <w:spacing w:val="20"/>
          <w:sz w:val="36"/>
          <w:szCs w:val="36"/>
        </w:rPr>
        <w:t>人民政府</w:t>
      </w:r>
    </w:p>
    <w:p w14:paraId="55EAC646">
      <w:pPr>
        <w:spacing w:before="936" w:beforeLines="300" w:line="1000" w:lineRule="exact"/>
        <w:ind w:firstLine="0" w:firstLineChars="0"/>
        <w:jc w:val="center"/>
        <w:rPr>
          <w:rFonts w:ascii="Times New Roman" w:hAnsi="Times New Roman" w:eastAsia="方正大标宋简体" w:cs="Times New Roman"/>
          <w:spacing w:val="20"/>
          <w:sz w:val="64"/>
          <w:szCs w:val="64"/>
        </w:rPr>
      </w:pPr>
    </w:p>
    <w:p w14:paraId="4E739C7D">
      <w:pPr>
        <w:spacing w:before="936" w:beforeLines="300" w:line="1000" w:lineRule="exact"/>
        <w:ind w:firstLine="0" w:firstLineChars="0"/>
        <w:jc w:val="center"/>
        <w:outlineLvl w:val="0"/>
        <w:rPr>
          <w:rFonts w:ascii="Times New Roman" w:hAnsi="Times New Roman" w:eastAsia="方正大标宋简体" w:cs="Times New Roman"/>
          <w:spacing w:val="20"/>
          <w:sz w:val="64"/>
          <w:szCs w:val="64"/>
        </w:rPr>
      </w:pPr>
      <w:r>
        <w:rPr>
          <w:rFonts w:ascii="Times New Roman" w:hAnsi="Times New Roman" w:eastAsia="方正大标宋简体" w:cs="Times New Roman"/>
          <w:spacing w:val="20"/>
          <w:sz w:val="64"/>
          <w:szCs w:val="64"/>
        </w:rPr>
        <w:t>凤县</w:t>
      </w:r>
      <w:r>
        <w:rPr>
          <w:rFonts w:hint="eastAsia" w:ascii="Times New Roman" w:hAnsi="Times New Roman" w:eastAsia="方正大标宋简体" w:cs="Times New Roman"/>
          <w:spacing w:val="20"/>
          <w:sz w:val="64"/>
          <w:szCs w:val="64"/>
          <w:lang w:eastAsia="zh-CN"/>
        </w:rPr>
        <w:t>红花铺镇</w:t>
      </w:r>
      <w:r>
        <w:rPr>
          <w:rFonts w:ascii="Times New Roman" w:hAnsi="Times New Roman" w:eastAsia="方正大标宋简体" w:cs="Times New Roman"/>
          <w:spacing w:val="20"/>
          <w:sz w:val="64"/>
          <w:szCs w:val="64"/>
        </w:rPr>
        <w:t>国土空间规划</w:t>
      </w:r>
    </w:p>
    <w:p w14:paraId="10EB02C6">
      <w:pPr>
        <w:spacing w:line="1000" w:lineRule="exact"/>
        <w:ind w:firstLine="0" w:firstLineChars="0"/>
        <w:jc w:val="center"/>
        <w:rPr>
          <w:rFonts w:ascii="Times New Roman" w:hAnsi="Times New Roman" w:eastAsia="方正大标宋简体" w:cs="Times New Roman"/>
          <w:b/>
          <w:bCs/>
          <w:sz w:val="50"/>
          <w:szCs w:val="50"/>
        </w:rPr>
      </w:pPr>
      <w:r>
        <w:rPr>
          <w:rFonts w:ascii="Times New Roman" w:hAnsi="Times New Roman" w:eastAsia="方正大标宋简体" w:cs="Times New Roman"/>
          <w:b/>
          <w:bCs/>
          <w:sz w:val="50"/>
          <w:szCs w:val="50"/>
        </w:rPr>
        <w:t>（2021-2035年）</w:t>
      </w:r>
    </w:p>
    <w:p w14:paraId="436F5E2C">
      <w:pPr>
        <w:spacing w:before="624" w:beforeLines="200" w:after="312" w:afterLines="100"/>
        <w:ind w:firstLine="0" w:firstLineChars="0"/>
        <w:jc w:val="center"/>
        <w:rPr>
          <w:rFonts w:ascii="Times New Roman" w:hAnsi="Times New Roman" w:eastAsia="方正大标宋简体" w:cs="Times New Roman"/>
          <w:sz w:val="40"/>
          <w:szCs w:val="40"/>
        </w:rPr>
      </w:pPr>
      <w:r>
        <w:rPr>
          <w:rFonts w:hint="eastAsia" w:ascii="黑体" w:hAnsi="黑体" w:eastAsia="黑体" w:cs="黑体"/>
          <w:spacing w:val="20"/>
          <w:sz w:val="40"/>
          <w:szCs w:val="40"/>
        </w:rPr>
        <w:t>-</w:t>
      </w:r>
      <w:r>
        <w:rPr>
          <w:rFonts w:ascii="Times New Roman" w:hAnsi="Times New Roman" w:eastAsia="方正大标宋简体" w:cs="Times New Roman"/>
          <w:sz w:val="40"/>
          <w:szCs w:val="40"/>
        </w:rPr>
        <w:t>文本</w:t>
      </w:r>
      <w:r>
        <w:rPr>
          <w:rFonts w:hint="eastAsia" w:ascii="黑体" w:hAnsi="黑体" w:eastAsia="黑体" w:cs="黑体"/>
          <w:spacing w:val="20"/>
          <w:sz w:val="40"/>
          <w:szCs w:val="40"/>
        </w:rPr>
        <w:t>-</w:t>
      </w:r>
    </w:p>
    <w:p w14:paraId="14CC197E">
      <w:pPr>
        <w:spacing w:before="624" w:beforeLines="200" w:after="312" w:afterLines="100"/>
        <w:ind w:firstLine="0" w:firstLineChars="0"/>
        <w:rPr>
          <w:rFonts w:ascii="Times New Roman" w:hAnsi="Times New Roman" w:eastAsia="微软雅黑" w:cs="Times New Roman"/>
          <w:sz w:val="36"/>
          <w:szCs w:val="36"/>
        </w:rPr>
      </w:pPr>
    </w:p>
    <w:p w14:paraId="1A04577E">
      <w:pPr>
        <w:spacing w:before="624" w:beforeLines="200" w:after="312" w:afterLines="100"/>
        <w:ind w:firstLine="0" w:firstLineChars="0"/>
        <w:rPr>
          <w:rFonts w:ascii="Times New Roman" w:hAnsi="Times New Roman" w:eastAsia="微软雅黑" w:cs="Times New Roman"/>
          <w:sz w:val="36"/>
          <w:szCs w:val="36"/>
        </w:rPr>
      </w:pPr>
    </w:p>
    <w:p w14:paraId="76C00619">
      <w:pPr>
        <w:spacing w:before="624" w:beforeLines="200" w:after="312" w:afterLines="100"/>
        <w:ind w:firstLine="0" w:firstLineChars="0"/>
        <w:rPr>
          <w:rFonts w:ascii="Times New Roman" w:hAnsi="Times New Roman" w:eastAsia="微软雅黑" w:cs="Times New Roman"/>
          <w:sz w:val="36"/>
          <w:szCs w:val="36"/>
        </w:rPr>
      </w:pPr>
    </w:p>
    <w:p w14:paraId="5D51476E">
      <w:pPr>
        <w:pStyle w:val="26"/>
        <w:ind w:left="0" w:leftChars="0" w:firstLine="0" w:firstLineChars="0"/>
      </w:pPr>
    </w:p>
    <w:p w14:paraId="7B00D5C8">
      <w:pPr>
        <w:pStyle w:val="2"/>
        <w:spacing w:after="156"/>
        <w:ind w:firstLine="720"/>
        <w:rPr>
          <w:rFonts w:eastAsia="微软雅黑" w:cs="Times New Roman"/>
          <w:sz w:val="36"/>
          <w:szCs w:val="36"/>
        </w:rPr>
      </w:pPr>
    </w:p>
    <w:p w14:paraId="55C99442">
      <w:pPr>
        <w:ind w:firstLine="600"/>
      </w:pPr>
    </w:p>
    <w:p w14:paraId="6D7D485F">
      <w:pPr>
        <w:ind w:firstLine="0" w:firstLineChars="0"/>
        <w:jc w:val="center"/>
        <w:outlineLvl w:val="0"/>
        <w:rPr>
          <w:rFonts w:ascii="Times New Roman" w:hAnsi="Times New Roman" w:eastAsia="方正大标宋简体" w:cs="Times New Roman"/>
          <w:spacing w:val="20"/>
          <w:sz w:val="36"/>
          <w:szCs w:val="36"/>
        </w:rPr>
      </w:pPr>
      <w:r>
        <w:rPr>
          <w:rFonts w:ascii="Times New Roman" w:hAnsi="Times New Roman" w:eastAsia="方正大标宋简体" w:cs="Times New Roman"/>
          <w:spacing w:val="20"/>
          <w:sz w:val="36"/>
          <w:szCs w:val="36"/>
        </w:rPr>
        <w:t>凤县</w:t>
      </w:r>
      <w:r>
        <w:rPr>
          <w:rFonts w:hint="eastAsia" w:ascii="Times New Roman" w:hAnsi="Times New Roman" w:eastAsia="方正大标宋简体" w:cs="Times New Roman"/>
          <w:spacing w:val="20"/>
          <w:sz w:val="36"/>
          <w:szCs w:val="36"/>
          <w:lang w:eastAsia="zh-CN"/>
        </w:rPr>
        <w:t>红花铺镇</w:t>
      </w:r>
      <w:r>
        <w:rPr>
          <w:rFonts w:ascii="Times New Roman" w:hAnsi="Times New Roman" w:eastAsia="方正大标宋简体" w:cs="Times New Roman"/>
          <w:spacing w:val="20"/>
          <w:sz w:val="36"/>
          <w:szCs w:val="36"/>
        </w:rPr>
        <w:t>人民政府</w:t>
      </w:r>
    </w:p>
    <w:p w14:paraId="1C1EE581">
      <w:pPr>
        <w:ind w:firstLine="0" w:firstLineChars="0"/>
        <w:jc w:val="center"/>
        <w:rPr>
          <w:rFonts w:ascii="Times New Roman" w:hAnsi="Times New Roman" w:eastAsia="方正大标宋简体" w:cs="Times New Roman"/>
          <w:spacing w:val="20"/>
          <w:sz w:val="36"/>
          <w:szCs w:val="36"/>
        </w:rPr>
      </w:pPr>
      <w:r>
        <w:rPr>
          <w:rFonts w:ascii="Times New Roman" w:hAnsi="Times New Roman" w:eastAsia="方正大标宋简体" w:cs="Times New Roman"/>
          <w:spacing w:val="20"/>
          <w:sz w:val="36"/>
          <w:szCs w:val="36"/>
        </w:rPr>
        <w:t>二</w:t>
      </w:r>
      <w:r>
        <w:rPr>
          <w:rFonts w:ascii="Times New Roman" w:hAnsi="Times New Roman" w:eastAsia="宋体" w:cs="Times New Roman"/>
          <w:spacing w:val="20"/>
          <w:sz w:val="36"/>
          <w:szCs w:val="36"/>
        </w:rPr>
        <w:t>〇</w:t>
      </w:r>
      <w:r>
        <w:rPr>
          <w:rFonts w:ascii="Times New Roman" w:hAnsi="Times New Roman" w:eastAsia="方正大标宋简体" w:cs="Times New Roman"/>
          <w:spacing w:val="20"/>
          <w:sz w:val="36"/>
          <w:szCs w:val="36"/>
        </w:rPr>
        <w:t>二</w:t>
      </w:r>
      <w:r>
        <w:rPr>
          <w:rFonts w:hint="eastAsia" w:ascii="Times New Roman" w:hAnsi="Times New Roman" w:eastAsia="方正大标宋简体" w:cs="Times New Roman"/>
          <w:spacing w:val="20"/>
          <w:sz w:val="36"/>
          <w:szCs w:val="36"/>
          <w:lang w:eastAsia="zh-CN"/>
        </w:rPr>
        <w:t>五</w:t>
      </w:r>
      <w:r>
        <w:rPr>
          <w:rFonts w:ascii="Times New Roman" w:hAnsi="Times New Roman" w:eastAsia="方正大标宋简体" w:cs="Times New Roman"/>
          <w:spacing w:val="20"/>
          <w:sz w:val="36"/>
          <w:szCs w:val="36"/>
        </w:rPr>
        <w:t>年</w:t>
      </w:r>
      <w:r>
        <w:rPr>
          <w:rFonts w:hint="eastAsia" w:ascii="Times New Roman" w:hAnsi="Times New Roman" w:eastAsia="方正大标宋简体" w:cs="Times New Roman"/>
          <w:spacing w:val="20"/>
          <w:sz w:val="36"/>
          <w:szCs w:val="36"/>
          <w:lang w:eastAsia="zh-CN"/>
        </w:rPr>
        <w:t>二</w:t>
      </w:r>
      <w:r>
        <w:rPr>
          <w:rFonts w:ascii="Times New Roman" w:hAnsi="Times New Roman" w:eastAsia="方正大标宋简体" w:cs="Times New Roman"/>
          <w:spacing w:val="20"/>
          <w:sz w:val="36"/>
          <w:szCs w:val="36"/>
        </w:rPr>
        <w:t>月</w:t>
      </w:r>
    </w:p>
    <w:p w14:paraId="583B2C6A">
      <w:pPr>
        <w:ind w:firstLine="0" w:firstLineChars="0"/>
        <w:rPr>
          <w:rFonts w:ascii="Times New Roman" w:hAnsi="Times New Roman" w:eastAsia="方正大标宋简体" w:cs="Times New Roman"/>
          <w:sz w:val="36"/>
          <w:szCs w:val="36"/>
        </w:rPr>
        <w:sectPr>
          <w:footerReference r:id="rId11" w:type="default"/>
          <w:pgSz w:w="11906" w:h="16838"/>
          <w:pgMar w:top="1440" w:right="1531" w:bottom="1440" w:left="1797" w:header="851" w:footer="992" w:gutter="0"/>
          <w:cols w:space="425" w:num="1"/>
          <w:docGrid w:type="lines" w:linePitch="312" w:charSpace="0"/>
        </w:sectPr>
      </w:pPr>
    </w:p>
    <w:p w14:paraId="3EF51C95">
      <w:pPr>
        <w:keepNext w:val="0"/>
        <w:keepLines w:val="0"/>
        <w:pageBreakBefore w:val="0"/>
        <w:widowControl w:val="0"/>
        <w:kinsoku/>
        <w:wordWrap/>
        <w:overflowPunct/>
        <w:topLinePunct w:val="0"/>
        <w:autoSpaceDE/>
        <w:autoSpaceDN/>
        <w:bidi w:val="0"/>
        <w:adjustRightInd/>
        <w:snapToGrid/>
        <w:spacing w:before="313" w:beforeLines="100" w:line="720" w:lineRule="auto"/>
        <w:ind w:firstLine="0" w:firstLineChars="0"/>
        <w:jc w:val="center"/>
        <w:textAlignment w:val="auto"/>
        <w:outlineLvl w:val="0"/>
        <w:rPr>
          <w:rFonts w:hint="eastAsia" w:ascii="方正大标宋简体" w:hAnsi="黑体" w:eastAsia="方正大标宋简体" w:cs="Times New Roman"/>
          <w:spacing w:val="40"/>
          <w:sz w:val="36"/>
          <w:szCs w:val="36"/>
        </w:rPr>
      </w:pPr>
      <w:bookmarkStart w:id="15" w:name="_Toc4543"/>
      <w:r>
        <w:rPr>
          <w:rFonts w:hint="eastAsia" w:ascii="方正大标宋简体" w:hAnsi="黑体" w:eastAsia="方正大标宋简体" w:cs="Times New Roman"/>
          <w:spacing w:val="40"/>
          <w:sz w:val="36"/>
          <w:szCs w:val="36"/>
        </w:rPr>
        <w:t>前 言</w:t>
      </w:r>
      <w:bookmarkEnd w:id="15"/>
    </w:p>
    <w:p w14:paraId="56646E56">
      <w:pPr>
        <w:ind w:firstLine="600"/>
        <w:rPr>
          <w:rFonts w:ascii="Times New Roman" w:hAnsi="Times New Roman" w:cs="Times New Roman"/>
        </w:rPr>
      </w:pPr>
      <w:r>
        <w:rPr>
          <w:rFonts w:hint="eastAsia" w:ascii="Times New Roman" w:hAnsi="Times New Roman" w:cs="Times New Roman"/>
        </w:rPr>
        <w:t>为深入贯彻落实党的二十大精神和习近平总书记来陕考察重要讲话重要指示精神，奋力谱写</w:t>
      </w:r>
      <w:r>
        <w:rPr>
          <w:rFonts w:hint="eastAsia" w:ascii="Times New Roman" w:hAnsi="Times New Roman" w:cs="Times New Roman"/>
          <w:lang w:eastAsia="zh-CN"/>
        </w:rPr>
        <w:t>红花铺镇</w:t>
      </w:r>
      <w:r>
        <w:rPr>
          <w:rFonts w:hint="eastAsia" w:ascii="Times New Roman" w:hAnsi="Times New Roman" w:cs="Times New Roman"/>
        </w:rPr>
        <w:t>新时代追赶超越新篇章。依据《中共中央国务院关于建立国土空间规划体系并监督实施的若干意见</w:t>
      </w:r>
      <w:r>
        <w:rPr>
          <w:rFonts w:hint="eastAsia" w:ascii="Times New Roman" w:hAnsi="Times New Roman" w:cs="Times New Roman"/>
          <w:lang w:eastAsia="zh-CN"/>
        </w:rPr>
        <w:t>》《</w:t>
      </w:r>
      <w:r>
        <w:rPr>
          <w:rFonts w:hint="eastAsia" w:ascii="Times New Roman" w:hAnsi="Times New Roman" w:cs="Times New Roman"/>
        </w:rPr>
        <w:t>中共陕西省委陕西省人民政府关于加快建立并监督实施陕西省国土空间规划体系的实施意见》等相关要求，结合</w:t>
      </w:r>
      <w:r>
        <w:rPr>
          <w:rFonts w:hint="eastAsia" w:ascii="Times New Roman" w:hAnsi="Times New Roman" w:cs="Times New Roman"/>
          <w:lang w:eastAsia="zh-CN"/>
        </w:rPr>
        <w:t>红花铺镇</w:t>
      </w:r>
      <w:r>
        <w:rPr>
          <w:rFonts w:hint="eastAsia" w:ascii="Times New Roman" w:hAnsi="Times New Roman" w:cs="Times New Roman"/>
        </w:rPr>
        <w:t>实际，编制《</w:t>
      </w:r>
      <w:r>
        <w:rPr>
          <w:rFonts w:hint="eastAsia" w:ascii="Times New Roman" w:hAnsi="Times New Roman" w:cs="Times New Roman"/>
          <w:lang w:eastAsia="zh-CN"/>
        </w:rPr>
        <w:t>凤县红花铺镇国土空间规划</w:t>
      </w:r>
      <w:r>
        <w:rPr>
          <w:rFonts w:hint="eastAsia" w:ascii="Times New Roman" w:hAnsi="Times New Roman" w:cs="Times New Roman"/>
        </w:rPr>
        <w:t>（2021-2035年）》（以下简称《规划》）。</w:t>
      </w:r>
    </w:p>
    <w:p w14:paraId="4BC7CA37">
      <w:pPr>
        <w:ind w:firstLine="600"/>
        <w:rPr>
          <w:rFonts w:ascii="Times New Roman" w:hAnsi="Times New Roman" w:cs="Times New Roman"/>
        </w:rPr>
      </w:pPr>
      <w:r>
        <w:rPr>
          <w:rFonts w:hint="eastAsia" w:ascii="Times New Roman" w:hAnsi="Times New Roman" w:cs="Times New Roman"/>
        </w:rPr>
        <w:t>《规划》基于</w:t>
      </w:r>
      <w:r>
        <w:rPr>
          <w:rFonts w:hint="eastAsia" w:ascii="Times New Roman" w:hAnsi="Times New Roman" w:cs="Times New Roman"/>
          <w:lang w:eastAsia="zh-CN"/>
        </w:rPr>
        <w:t>红花铺镇</w:t>
      </w:r>
      <w:r>
        <w:rPr>
          <w:rFonts w:hint="eastAsia" w:ascii="Times New Roman" w:hAnsi="Times New Roman" w:cs="Times New Roman"/>
        </w:rPr>
        <w:t>自然地理特征，依据资源环境承载能力和国土空间开发适宜性，落实上位规划确定的目标和约束性指标，对镇域空间布局、自然资源保护利用、国土综合整治与生态修复、支撑保障体系以及镇区规划等进行优化落实和统筹安排。</w:t>
      </w:r>
    </w:p>
    <w:p w14:paraId="5BABF3C9">
      <w:pPr>
        <w:ind w:firstLine="600"/>
        <w:rPr>
          <w:rFonts w:ascii="Times New Roman" w:hAnsi="Times New Roman" w:cs="Times New Roman"/>
        </w:rPr>
      </w:pPr>
      <w:r>
        <w:rPr>
          <w:rFonts w:hint="eastAsia" w:ascii="Times New Roman" w:hAnsi="Times New Roman" w:cs="Times New Roman"/>
        </w:rPr>
        <w:t>《规划》是对市、县级国土空间总体规划的细化落实，是乡镇国土空间开发、保护、利用、修复和各类建设的行动指南，是编制国土空间详细规划以及实施国土空间用途管制的基本依据。</w:t>
      </w:r>
    </w:p>
    <w:p w14:paraId="6090A9D2">
      <w:pPr>
        <w:ind w:firstLine="600"/>
        <w:rPr>
          <w:rFonts w:hint="eastAsia" w:ascii="Times New Roman" w:hAnsi="Times New Roman" w:cs="Times New Roman"/>
        </w:rPr>
      </w:pPr>
      <w:r>
        <w:rPr>
          <w:rFonts w:hint="eastAsia" w:ascii="Times New Roman" w:hAnsi="Times New Roman" w:cs="Times New Roman"/>
        </w:rPr>
        <w:t>规划分为全域和镇区两个层次，</w:t>
      </w:r>
      <w:r>
        <w:rPr>
          <w:rFonts w:hint="eastAsia" w:ascii="Times New Roman" w:hAnsi="Times New Roman" w:cs="Times New Roman"/>
          <w:lang w:eastAsia="zh-CN"/>
        </w:rPr>
        <w:t>全域为红花铺镇</w:t>
      </w:r>
      <w:r>
        <w:rPr>
          <w:rFonts w:hint="eastAsia" w:ascii="Times New Roman" w:hAnsi="Times New Roman" w:cs="Times New Roman"/>
        </w:rPr>
        <w:t>行政辖区内全部国土空间，总面积</w:t>
      </w:r>
      <w:r>
        <w:rPr>
          <w:rFonts w:hint="eastAsia" w:ascii="Times New Roman" w:hAnsi="Times New Roman" w:cs="Times New Roman"/>
          <w:lang w:val="en-US" w:eastAsia="zh-CN"/>
        </w:rPr>
        <w:t>23093.16</w:t>
      </w:r>
      <w:r>
        <w:rPr>
          <w:rFonts w:hint="eastAsia" w:ascii="Times New Roman" w:hAnsi="Times New Roman" w:cs="Times New Roman"/>
        </w:rPr>
        <w:t>公顷</w:t>
      </w:r>
      <w:r>
        <w:rPr>
          <w:rFonts w:hint="eastAsia" w:ascii="Times New Roman" w:hAnsi="Times New Roman" w:cs="Times New Roman"/>
          <w:lang w:eastAsia="zh-CN"/>
        </w:rPr>
        <w:t>；</w:t>
      </w:r>
      <w:r>
        <w:rPr>
          <w:rFonts w:hint="eastAsia" w:ascii="Times New Roman" w:hAnsi="Times New Roman" w:cs="Times New Roman"/>
        </w:rPr>
        <w:t>镇区</w:t>
      </w:r>
      <w:r>
        <w:rPr>
          <w:rFonts w:hint="eastAsia" w:ascii="Times New Roman" w:hAnsi="Times New Roman" w:cs="Times New Roman"/>
          <w:lang w:eastAsia="zh-CN"/>
        </w:rPr>
        <w:t>规划范围为红花铺镇政府驻地的建成区及规划建设管控范围，</w:t>
      </w:r>
      <w:r>
        <w:rPr>
          <w:rFonts w:hint="eastAsia" w:ascii="Times New Roman" w:hAnsi="Times New Roman" w:cs="Times New Roman"/>
        </w:rPr>
        <w:t>面积66.71</w:t>
      </w:r>
      <w:r>
        <w:rPr>
          <w:rFonts w:hint="eastAsia" w:ascii="Times New Roman" w:hAnsi="Times New Roman" w:cs="Times New Roman"/>
          <w:lang w:val="en-US" w:eastAsia="zh-CN"/>
        </w:rPr>
        <w:t>公顷</w:t>
      </w:r>
      <w:r>
        <w:rPr>
          <w:rFonts w:hint="eastAsia" w:ascii="Times New Roman" w:hAnsi="Times New Roman" w:cs="Times New Roman"/>
        </w:rPr>
        <w:t>。规划期限为2021-2035年，规划基期为2020年，规划目标年为2035年，近期目标年为2025年。</w:t>
      </w:r>
    </w:p>
    <w:p w14:paraId="713AFFBA">
      <w:pPr>
        <w:ind w:firstLine="600"/>
        <w:rPr>
          <w:rFonts w:hint="eastAsia" w:ascii="Times New Roman" w:hAnsi="Times New Roman" w:cs="Times New Roman"/>
        </w:rPr>
        <w:sectPr>
          <w:headerReference r:id="rId12" w:type="default"/>
          <w:pgSz w:w="11906" w:h="16838"/>
          <w:pgMar w:top="1440" w:right="1531" w:bottom="1440" w:left="1797" w:header="851" w:footer="992" w:gutter="0"/>
          <w:cols w:space="425" w:num="1"/>
          <w:docGrid w:type="lines" w:linePitch="312" w:charSpace="0"/>
        </w:sectPr>
      </w:pPr>
    </w:p>
    <w:sdt>
      <w:sdtPr>
        <w:rPr>
          <w:rFonts w:hint="eastAsia" w:ascii="方正大标宋简体" w:hAnsi="黑体" w:eastAsia="方正大标宋简体" w:cs="Times New Roman"/>
          <w:spacing w:val="40"/>
          <w:sz w:val="36"/>
          <w:szCs w:val="36"/>
          <w:lang w:val="en-US" w:eastAsia="zh-CN"/>
        </w:rPr>
        <w:id w:val="147459768"/>
        <w15:color w:val="DBDBDB"/>
        <w:docPartObj>
          <w:docPartGallery w:val="Table of Contents"/>
          <w:docPartUnique/>
        </w:docPartObj>
      </w:sdtPr>
      <w:sdtEndPr>
        <w:rPr>
          <w:rFonts w:hint="eastAsia" w:ascii="Times New Roman" w:hAnsi="Times New Roman" w:eastAsia="方正大标宋简体" w:cs="Times New Roman"/>
          <w:b/>
          <w:spacing w:val="40"/>
          <w:kern w:val="2"/>
          <w:sz w:val="30"/>
          <w:szCs w:val="36"/>
          <w:lang w:val="en-US" w:eastAsia="zh-CN" w:bidi="ar-SA"/>
        </w:rPr>
      </w:sdtEndPr>
      <w:sdtContent>
        <w:p w14:paraId="19266980">
          <w:pPr>
            <w:keepNext w:val="0"/>
            <w:keepLines w:val="0"/>
            <w:pageBreakBefore w:val="0"/>
            <w:widowControl w:val="0"/>
            <w:kinsoku/>
            <w:wordWrap/>
            <w:overflowPunct/>
            <w:topLinePunct w:val="0"/>
            <w:autoSpaceDE/>
            <w:autoSpaceDN/>
            <w:bidi w:val="0"/>
            <w:adjustRightInd/>
            <w:snapToGrid/>
            <w:spacing w:before="410" w:beforeLines="100" w:after="408" w:afterLines="100" w:line="240" w:lineRule="auto"/>
            <w:ind w:firstLine="440" w:firstLineChars="100"/>
            <w:jc w:val="center"/>
            <w:textAlignment w:val="auto"/>
            <w:rPr>
              <w:rFonts w:hint="eastAsia" w:ascii="方正大标宋简体" w:hAnsi="黑体" w:eastAsia="方正大标宋简体" w:cs="Times New Roman"/>
              <w:spacing w:val="40"/>
              <w:sz w:val="36"/>
              <w:szCs w:val="36"/>
            </w:rPr>
          </w:pPr>
          <w:r>
            <w:rPr>
              <w:rFonts w:hint="eastAsia" w:ascii="方正大标宋简体" w:hAnsi="黑体" w:eastAsia="方正大标宋简体" w:cs="Times New Roman"/>
              <w:spacing w:val="40"/>
              <w:sz w:val="36"/>
              <w:szCs w:val="36"/>
            </w:rPr>
            <w:t>目</w:t>
          </w:r>
          <w:r>
            <w:rPr>
              <w:rFonts w:hint="eastAsia" w:ascii="方正大标宋简体" w:hAnsi="黑体" w:eastAsia="方正大标宋简体" w:cs="Times New Roman"/>
              <w:spacing w:val="40"/>
              <w:sz w:val="36"/>
              <w:szCs w:val="36"/>
              <w:lang w:val="en-US" w:eastAsia="zh-CN"/>
            </w:rPr>
            <w:t xml:space="preserve"> </w:t>
          </w:r>
          <w:r>
            <w:rPr>
              <w:rFonts w:hint="eastAsia" w:ascii="方正大标宋简体" w:hAnsi="黑体" w:eastAsia="方正大标宋简体" w:cs="Times New Roman"/>
              <w:spacing w:val="40"/>
              <w:sz w:val="36"/>
              <w:szCs w:val="36"/>
            </w:rPr>
            <w:t>录</w:t>
          </w:r>
        </w:p>
        <w:p w14:paraId="4504E4D0">
          <w:pPr>
            <w:pStyle w:val="18"/>
            <w:tabs>
              <w:tab w:val="right" w:leader="dot" w:pos="8674"/>
            </w:tabs>
          </w:pPr>
          <w:r>
            <w:fldChar w:fldCharType="begin"/>
          </w:r>
          <w:r>
            <w:instrText xml:space="preserve">TOC \o "1-2" \h \u </w:instrText>
          </w:r>
          <w:r>
            <w:fldChar w:fldCharType="separate"/>
          </w:r>
          <w:r>
            <w:rPr>
              <w:b/>
              <w:bCs/>
            </w:rPr>
            <w:fldChar w:fldCharType="begin"/>
          </w:r>
          <w:r>
            <w:rPr>
              <w:b/>
              <w:bCs/>
            </w:rPr>
            <w:instrText xml:space="preserve"> HYPERLINK \l _Toc15851 </w:instrText>
          </w:r>
          <w:r>
            <w:rPr>
              <w:b/>
              <w:bCs/>
            </w:rPr>
            <w:fldChar w:fldCharType="separate"/>
          </w:r>
          <w:r>
            <w:rPr>
              <w:rFonts w:ascii="Times New Roman" w:hAnsi="Times New Roman" w:cs="Times New Roman"/>
              <w:b/>
              <w:bCs/>
            </w:rPr>
            <w:t>第</w:t>
          </w:r>
          <w:r>
            <w:rPr>
              <w:rFonts w:hint="eastAsia" w:ascii="Times New Roman" w:hAnsi="Times New Roman" w:cs="Times New Roman"/>
              <w:b/>
              <w:bCs/>
            </w:rPr>
            <w:t>一</w:t>
          </w:r>
          <w:r>
            <w:rPr>
              <w:rFonts w:ascii="Times New Roman" w:hAnsi="Times New Roman" w:cs="Times New Roman"/>
              <w:b/>
              <w:bCs/>
            </w:rPr>
            <w:t xml:space="preserve">章 </w:t>
          </w:r>
          <w:r>
            <w:rPr>
              <w:rFonts w:hint="eastAsia" w:ascii="Times New Roman" w:hAnsi="Times New Roman" w:cs="Times New Roman"/>
              <w:b/>
              <w:bCs/>
              <w:lang w:eastAsia="zh-CN"/>
            </w:rPr>
            <w:t>规划基础</w:t>
          </w:r>
          <w:r>
            <w:rPr>
              <w:b/>
              <w:bCs/>
            </w:rPr>
            <w:tab/>
          </w:r>
          <w:r>
            <w:rPr>
              <w:b/>
              <w:bCs/>
            </w:rPr>
            <w:fldChar w:fldCharType="begin"/>
          </w:r>
          <w:r>
            <w:rPr>
              <w:b/>
              <w:bCs/>
            </w:rPr>
            <w:instrText xml:space="preserve"> PAGEREF _Toc15851 \h </w:instrText>
          </w:r>
          <w:r>
            <w:rPr>
              <w:b/>
              <w:bCs/>
            </w:rPr>
            <w:fldChar w:fldCharType="separate"/>
          </w:r>
          <w:r>
            <w:rPr>
              <w:b/>
              <w:bCs/>
            </w:rPr>
            <w:t>1</w:t>
          </w:r>
          <w:r>
            <w:rPr>
              <w:b/>
              <w:bCs/>
            </w:rPr>
            <w:fldChar w:fldCharType="end"/>
          </w:r>
          <w:r>
            <w:rPr>
              <w:b/>
              <w:bCs/>
            </w:rPr>
            <w:fldChar w:fldCharType="end"/>
          </w:r>
        </w:p>
        <w:p w14:paraId="5E4AA743">
          <w:pPr>
            <w:pStyle w:val="22"/>
            <w:tabs>
              <w:tab w:val="right" w:leader="dot" w:pos="8674"/>
            </w:tabs>
          </w:pPr>
          <w:r>
            <w:fldChar w:fldCharType="begin"/>
          </w:r>
          <w:r>
            <w:instrText xml:space="preserve"> HYPERLINK \l _Toc15667 </w:instrText>
          </w:r>
          <w:r>
            <w:fldChar w:fldCharType="separate"/>
          </w:r>
          <w:r>
            <w:rPr>
              <w:rFonts w:ascii="Times New Roman" w:hAnsi="Times New Roman" w:cs="Times New Roman"/>
            </w:rPr>
            <w:t xml:space="preserve">第一节 </w:t>
          </w:r>
          <w:r>
            <w:rPr>
              <w:rFonts w:hint="eastAsia" w:ascii="Times New Roman" w:hAnsi="Times New Roman" w:cs="Times New Roman"/>
            </w:rPr>
            <w:t>基本地理特征</w:t>
          </w:r>
          <w:r>
            <w:tab/>
          </w:r>
          <w:r>
            <w:fldChar w:fldCharType="begin"/>
          </w:r>
          <w:r>
            <w:instrText xml:space="preserve"> PAGEREF _Toc15667 \h </w:instrText>
          </w:r>
          <w:r>
            <w:fldChar w:fldCharType="separate"/>
          </w:r>
          <w:r>
            <w:t>1</w:t>
          </w:r>
          <w:r>
            <w:fldChar w:fldCharType="end"/>
          </w:r>
          <w:r>
            <w:fldChar w:fldCharType="end"/>
          </w:r>
        </w:p>
        <w:p w14:paraId="2C1401FB">
          <w:pPr>
            <w:pStyle w:val="22"/>
            <w:tabs>
              <w:tab w:val="right" w:leader="dot" w:pos="8674"/>
            </w:tabs>
          </w:pPr>
          <w:r>
            <w:fldChar w:fldCharType="begin"/>
          </w:r>
          <w:r>
            <w:instrText xml:space="preserve"> HYPERLINK \l _Toc27745 </w:instrText>
          </w:r>
          <w:r>
            <w:fldChar w:fldCharType="separate"/>
          </w:r>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开发保护现状</w:t>
          </w:r>
          <w:r>
            <w:tab/>
          </w:r>
          <w:r>
            <w:fldChar w:fldCharType="begin"/>
          </w:r>
          <w:r>
            <w:instrText xml:space="preserve"> PAGEREF _Toc27745 \h </w:instrText>
          </w:r>
          <w:r>
            <w:fldChar w:fldCharType="separate"/>
          </w:r>
          <w:r>
            <w:t>2</w:t>
          </w:r>
          <w:r>
            <w:fldChar w:fldCharType="end"/>
          </w:r>
          <w:r>
            <w:fldChar w:fldCharType="end"/>
          </w:r>
        </w:p>
        <w:p w14:paraId="47125564">
          <w:pPr>
            <w:pStyle w:val="22"/>
            <w:tabs>
              <w:tab w:val="right" w:leader="dot" w:pos="8674"/>
            </w:tabs>
          </w:pPr>
          <w:r>
            <w:fldChar w:fldCharType="begin"/>
          </w:r>
          <w:r>
            <w:instrText xml:space="preserve"> HYPERLINK \l _Toc23225 </w:instrText>
          </w:r>
          <w:r>
            <w:fldChar w:fldCharType="separate"/>
          </w: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节 </w:t>
          </w:r>
          <w:r>
            <w:rPr>
              <w:rFonts w:hint="eastAsia" w:ascii="Times New Roman" w:hAnsi="Times New Roman" w:cs="Times New Roman"/>
            </w:rPr>
            <w:t>存在问题</w:t>
          </w:r>
          <w:r>
            <w:tab/>
          </w:r>
          <w:r>
            <w:fldChar w:fldCharType="begin"/>
          </w:r>
          <w:r>
            <w:instrText xml:space="preserve"> PAGEREF _Toc23225 \h </w:instrText>
          </w:r>
          <w:r>
            <w:fldChar w:fldCharType="separate"/>
          </w:r>
          <w:r>
            <w:t>3</w:t>
          </w:r>
          <w:r>
            <w:fldChar w:fldCharType="end"/>
          </w:r>
          <w:r>
            <w:fldChar w:fldCharType="end"/>
          </w:r>
        </w:p>
        <w:p w14:paraId="1CE5FC2A">
          <w:pPr>
            <w:pStyle w:val="18"/>
            <w:tabs>
              <w:tab w:val="right" w:leader="dot" w:pos="8674"/>
            </w:tabs>
          </w:pPr>
          <w:r>
            <w:rPr>
              <w:b/>
              <w:bCs/>
            </w:rPr>
            <w:fldChar w:fldCharType="begin"/>
          </w:r>
          <w:r>
            <w:rPr>
              <w:b/>
              <w:bCs/>
            </w:rPr>
            <w:instrText xml:space="preserve"> HYPERLINK \l _Toc21301 </w:instrText>
          </w:r>
          <w:r>
            <w:rPr>
              <w:b/>
              <w:bCs/>
            </w:rPr>
            <w:fldChar w:fldCharType="separate"/>
          </w:r>
          <w:r>
            <w:rPr>
              <w:rFonts w:ascii="Times New Roman" w:hAnsi="Times New Roman" w:cs="Times New Roman"/>
              <w:b/>
              <w:bCs/>
            </w:rPr>
            <w:t>第</w:t>
          </w:r>
          <w:r>
            <w:rPr>
              <w:rFonts w:hint="eastAsia" w:ascii="Times New Roman" w:hAnsi="Times New Roman" w:cs="Times New Roman"/>
              <w:b/>
              <w:bCs/>
            </w:rPr>
            <w:t>二</w:t>
          </w:r>
          <w:r>
            <w:rPr>
              <w:rFonts w:ascii="Times New Roman" w:hAnsi="Times New Roman" w:cs="Times New Roman"/>
              <w:b/>
              <w:bCs/>
            </w:rPr>
            <w:t xml:space="preserve">章 </w:t>
          </w:r>
          <w:r>
            <w:rPr>
              <w:rFonts w:hint="eastAsia" w:ascii="Times New Roman" w:hAnsi="Times New Roman" w:cs="Times New Roman"/>
              <w:b/>
              <w:bCs/>
            </w:rPr>
            <w:t>规划定位与目标</w:t>
          </w:r>
          <w:r>
            <w:rPr>
              <w:b/>
              <w:bCs/>
            </w:rPr>
            <w:tab/>
          </w:r>
          <w:r>
            <w:rPr>
              <w:b/>
              <w:bCs/>
            </w:rPr>
            <w:fldChar w:fldCharType="begin"/>
          </w:r>
          <w:r>
            <w:rPr>
              <w:b/>
              <w:bCs/>
            </w:rPr>
            <w:instrText xml:space="preserve"> PAGEREF _Toc21301 \h </w:instrText>
          </w:r>
          <w:r>
            <w:rPr>
              <w:b/>
              <w:bCs/>
            </w:rPr>
            <w:fldChar w:fldCharType="separate"/>
          </w:r>
          <w:r>
            <w:rPr>
              <w:b/>
              <w:bCs/>
            </w:rPr>
            <w:t>5</w:t>
          </w:r>
          <w:r>
            <w:rPr>
              <w:b/>
              <w:bCs/>
            </w:rPr>
            <w:fldChar w:fldCharType="end"/>
          </w:r>
          <w:r>
            <w:rPr>
              <w:b/>
              <w:bCs/>
            </w:rPr>
            <w:fldChar w:fldCharType="end"/>
          </w:r>
        </w:p>
        <w:p w14:paraId="2366B50F">
          <w:pPr>
            <w:pStyle w:val="22"/>
            <w:tabs>
              <w:tab w:val="right" w:leader="dot" w:pos="8674"/>
            </w:tabs>
          </w:pPr>
          <w:r>
            <w:fldChar w:fldCharType="begin"/>
          </w:r>
          <w:r>
            <w:instrText xml:space="preserve"> HYPERLINK \l _Toc14758 </w:instrText>
          </w:r>
          <w:r>
            <w:fldChar w:fldCharType="separate"/>
          </w:r>
          <w:r>
            <w:rPr>
              <w:rFonts w:ascii="Times New Roman" w:hAnsi="Times New Roman" w:cs="Times New Roman"/>
            </w:rPr>
            <w:t>第</w:t>
          </w:r>
          <w:r>
            <w:rPr>
              <w:rFonts w:hint="eastAsia" w:ascii="Times New Roman" w:hAnsi="Times New Roman" w:cs="Times New Roman"/>
              <w:lang w:eastAsia="zh-CN"/>
            </w:rPr>
            <w:t>一</w:t>
          </w:r>
          <w:r>
            <w:rPr>
              <w:rFonts w:ascii="Times New Roman" w:hAnsi="Times New Roman" w:cs="Times New Roman"/>
            </w:rPr>
            <w:t xml:space="preserve">节 </w:t>
          </w:r>
          <w:r>
            <w:rPr>
              <w:rFonts w:hint="eastAsia" w:ascii="Times New Roman" w:hAnsi="Times New Roman" w:cs="Times New Roman"/>
            </w:rPr>
            <w:t>规划定位</w:t>
          </w:r>
          <w:r>
            <w:tab/>
          </w:r>
          <w:r>
            <w:fldChar w:fldCharType="begin"/>
          </w:r>
          <w:r>
            <w:instrText xml:space="preserve"> PAGEREF _Toc14758 \h </w:instrText>
          </w:r>
          <w:r>
            <w:fldChar w:fldCharType="separate"/>
          </w:r>
          <w:r>
            <w:t>5</w:t>
          </w:r>
          <w:r>
            <w:fldChar w:fldCharType="end"/>
          </w:r>
          <w:r>
            <w:fldChar w:fldCharType="end"/>
          </w:r>
        </w:p>
        <w:p w14:paraId="1874900A">
          <w:pPr>
            <w:pStyle w:val="22"/>
            <w:tabs>
              <w:tab w:val="right" w:leader="dot" w:pos="8674"/>
            </w:tabs>
          </w:pPr>
          <w:r>
            <w:fldChar w:fldCharType="begin"/>
          </w:r>
          <w:r>
            <w:instrText xml:space="preserve"> HYPERLINK \l _Toc1879 </w:instrText>
          </w:r>
          <w:r>
            <w:fldChar w:fldCharType="separate"/>
          </w:r>
          <w:r>
            <w:rPr>
              <w:rFonts w:ascii="Times New Roman" w:hAnsi="Times New Roman" w:cs="Times New Roman"/>
            </w:rPr>
            <w:t>第</w:t>
          </w:r>
          <w:r>
            <w:rPr>
              <w:rFonts w:hint="eastAsia" w:ascii="Times New Roman" w:hAnsi="Times New Roman" w:cs="Times New Roman"/>
              <w:lang w:eastAsia="zh-CN"/>
            </w:rPr>
            <w:t>二</w:t>
          </w:r>
          <w:r>
            <w:rPr>
              <w:rFonts w:ascii="Times New Roman" w:hAnsi="Times New Roman" w:cs="Times New Roman"/>
            </w:rPr>
            <w:t xml:space="preserve">节 </w:t>
          </w:r>
          <w:r>
            <w:rPr>
              <w:rFonts w:hint="eastAsia" w:ascii="Times New Roman" w:hAnsi="Times New Roman" w:cs="Times New Roman"/>
            </w:rPr>
            <w:t>规划目标与指标</w:t>
          </w:r>
          <w:r>
            <w:tab/>
          </w:r>
          <w:r>
            <w:fldChar w:fldCharType="begin"/>
          </w:r>
          <w:r>
            <w:instrText xml:space="preserve"> PAGEREF _Toc1879 \h </w:instrText>
          </w:r>
          <w:r>
            <w:fldChar w:fldCharType="separate"/>
          </w:r>
          <w:r>
            <w:t>5</w:t>
          </w:r>
          <w:r>
            <w:fldChar w:fldCharType="end"/>
          </w:r>
          <w:r>
            <w:fldChar w:fldCharType="end"/>
          </w:r>
        </w:p>
        <w:p w14:paraId="20C647B6">
          <w:pPr>
            <w:pStyle w:val="18"/>
            <w:tabs>
              <w:tab w:val="right" w:leader="dot" w:pos="8674"/>
            </w:tabs>
            <w:rPr>
              <w:b/>
              <w:bCs/>
            </w:rPr>
          </w:pPr>
          <w:r>
            <w:rPr>
              <w:b/>
              <w:bCs/>
            </w:rPr>
            <w:fldChar w:fldCharType="begin"/>
          </w:r>
          <w:r>
            <w:rPr>
              <w:b/>
              <w:bCs/>
            </w:rPr>
            <w:instrText xml:space="preserve"> HYPERLINK \l _Toc2347 </w:instrText>
          </w:r>
          <w:r>
            <w:rPr>
              <w:b/>
              <w:bCs/>
            </w:rPr>
            <w:fldChar w:fldCharType="separate"/>
          </w:r>
          <w:r>
            <w:rPr>
              <w:b/>
              <w:bCs/>
            </w:rPr>
            <w:t>第</w:t>
          </w:r>
          <w:r>
            <w:rPr>
              <w:rFonts w:hint="eastAsia"/>
              <w:b/>
              <w:bCs/>
              <w:lang w:eastAsia="zh-CN"/>
            </w:rPr>
            <w:t>三</w:t>
          </w:r>
          <w:r>
            <w:rPr>
              <w:b/>
              <w:bCs/>
            </w:rPr>
            <w:t xml:space="preserve">章 </w:t>
          </w:r>
          <w:r>
            <w:rPr>
              <w:rFonts w:hint="eastAsia"/>
              <w:b/>
              <w:bCs/>
              <w:lang w:val="en-US" w:eastAsia="zh-CN"/>
            </w:rPr>
            <w:t>重要控制线落实</w:t>
          </w:r>
          <w:r>
            <w:rPr>
              <w:b/>
              <w:bCs/>
            </w:rPr>
            <w:tab/>
          </w:r>
          <w:r>
            <w:rPr>
              <w:b/>
              <w:bCs/>
            </w:rPr>
            <w:fldChar w:fldCharType="begin"/>
          </w:r>
          <w:r>
            <w:rPr>
              <w:b/>
              <w:bCs/>
            </w:rPr>
            <w:instrText xml:space="preserve"> PAGEREF _Toc2347 \h </w:instrText>
          </w:r>
          <w:r>
            <w:rPr>
              <w:b/>
              <w:bCs/>
            </w:rPr>
            <w:fldChar w:fldCharType="separate"/>
          </w:r>
          <w:r>
            <w:rPr>
              <w:b/>
              <w:bCs/>
            </w:rPr>
            <w:t>7</w:t>
          </w:r>
          <w:r>
            <w:rPr>
              <w:b/>
              <w:bCs/>
            </w:rPr>
            <w:fldChar w:fldCharType="end"/>
          </w:r>
          <w:r>
            <w:rPr>
              <w:b/>
              <w:bCs/>
            </w:rPr>
            <w:fldChar w:fldCharType="end"/>
          </w:r>
        </w:p>
        <w:p w14:paraId="07A90ACC">
          <w:pPr>
            <w:pStyle w:val="22"/>
            <w:tabs>
              <w:tab w:val="right" w:leader="dot" w:pos="8674"/>
            </w:tabs>
          </w:pPr>
          <w:r>
            <w:fldChar w:fldCharType="begin"/>
          </w:r>
          <w:r>
            <w:instrText xml:space="preserve"> HYPERLINK \l _Toc14631 </w:instrText>
          </w:r>
          <w:r>
            <w:fldChar w:fldCharType="separate"/>
          </w:r>
          <w:r>
            <w:rPr>
              <w:rFonts w:hint="eastAsia" w:ascii="Times New Roman" w:hAnsi="Times New Roman" w:cs="Times New Roman"/>
            </w:rPr>
            <w:t>第一节 落实</w:t>
          </w:r>
          <w:r>
            <w:rPr>
              <w:rFonts w:hint="eastAsia" w:ascii="Times New Roman" w:hAnsi="Times New Roman" w:cs="Times New Roman"/>
              <w:lang w:val="en-US" w:eastAsia="zh-CN"/>
            </w:rPr>
            <w:t>三条控制线</w:t>
          </w:r>
          <w:r>
            <w:tab/>
          </w:r>
          <w:r>
            <w:fldChar w:fldCharType="begin"/>
          </w:r>
          <w:r>
            <w:instrText xml:space="preserve"> PAGEREF _Toc14631 \h </w:instrText>
          </w:r>
          <w:r>
            <w:fldChar w:fldCharType="separate"/>
          </w:r>
          <w:r>
            <w:t>7</w:t>
          </w:r>
          <w:r>
            <w:fldChar w:fldCharType="end"/>
          </w:r>
          <w:r>
            <w:fldChar w:fldCharType="end"/>
          </w:r>
        </w:p>
        <w:p w14:paraId="0028FCE0">
          <w:pPr>
            <w:pStyle w:val="22"/>
            <w:tabs>
              <w:tab w:val="right" w:leader="dot" w:pos="8674"/>
            </w:tabs>
          </w:pPr>
          <w:r>
            <w:fldChar w:fldCharType="begin"/>
          </w:r>
          <w:r>
            <w:instrText xml:space="preserve"> HYPERLINK \l _Toc26171 </w:instrText>
          </w:r>
          <w:r>
            <w:fldChar w:fldCharType="separate"/>
          </w:r>
          <w:r>
            <w:rPr>
              <w:rFonts w:hint="eastAsia" w:ascii="Times New Roman" w:hAnsi="Times New Roman" w:cs="Times New Roman"/>
            </w:rPr>
            <w:t xml:space="preserve">第二节 </w:t>
          </w:r>
          <w:r>
            <w:rPr>
              <w:rFonts w:hint="eastAsia" w:ascii="Times New Roman" w:hAnsi="Times New Roman" w:cs="Times New Roman"/>
              <w:lang w:val="en-US" w:eastAsia="zh-CN"/>
            </w:rPr>
            <w:t>其他控制线落实与</w:t>
          </w:r>
          <w:r>
            <w:rPr>
              <w:rFonts w:hint="eastAsia" w:ascii="Times New Roman" w:hAnsi="Times New Roman" w:cs="Times New Roman"/>
            </w:rPr>
            <w:t>划定</w:t>
          </w:r>
          <w:r>
            <w:tab/>
          </w:r>
          <w:r>
            <w:fldChar w:fldCharType="begin"/>
          </w:r>
          <w:r>
            <w:instrText xml:space="preserve"> PAGEREF _Toc26171 \h </w:instrText>
          </w:r>
          <w:r>
            <w:fldChar w:fldCharType="separate"/>
          </w:r>
          <w:r>
            <w:t>8</w:t>
          </w:r>
          <w:r>
            <w:fldChar w:fldCharType="end"/>
          </w:r>
          <w:r>
            <w:fldChar w:fldCharType="end"/>
          </w:r>
        </w:p>
        <w:p w14:paraId="0500821A">
          <w:pPr>
            <w:pStyle w:val="18"/>
            <w:tabs>
              <w:tab w:val="right" w:leader="dot" w:pos="8674"/>
            </w:tabs>
            <w:rPr>
              <w:b/>
              <w:bCs/>
            </w:rPr>
          </w:pPr>
          <w:r>
            <w:rPr>
              <w:b/>
              <w:bCs/>
            </w:rPr>
            <w:fldChar w:fldCharType="begin"/>
          </w:r>
          <w:r>
            <w:rPr>
              <w:b/>
              <w:bCs/>
            </w:rPr>
            <w:instrText xml:space="preserve"> HYPERLINK \l _Toc20380 </w:instrText>
          </w:r>
          <w:r>
            <w:rPr>
              <w:b/>
              <w:bCs/>
            </w:rPr>
            <w:fldChar w:fldCharType="separate"/>
          </w:r>
          <w:r>
            <w:rPr>
              <w:rFonts w:hint="eastAsia"/>
              <w:b/>
              <w:bCs/>
              <w:lang w:val="en-US" w:eastAsia="zh-CN"/>
            </w:rPr>
            <w:t>第四章</w:t>
          </w:r>
          <w:r>
            <w:rPr>
              <w:b/>
              <w:bCs/>
            </w:rPr>
            <w:t xml:space="preserve"> </w:t>
          </w:r>
          <w:r>
            <w:rPr>
              <w:rFonts w:hint="eastAsia"/>
              <w:b/>
              <w:bCs/>
            </w:rPr>
            <w:t>国土空间布局优化</w:t>
          </w:r>
          <w:r>
            <w:rPr>
              <w:b/>
              <w:bCs/>
            </w:rPr>
            <w:tab/>
          </w:r>
          <w:r>
            <w:rPr>
              <w:b/>
              <w:bCs/>
            </w:rPr>
            <w:fldChar w:fldCharType="begin"/>
          </w:r>
          <w:r>
            <w:rPr>
              <w:b/>
              <w:bCs/>
            </w:rPr>
            <w:instrText xml:space="preserve"> PAGEREF _Toc20380 \h </w:instrText>
          </w:r>
          <w:r>
            <w:rPr>
              <w:b/>
              <w:bCs/>
            </w:rPr>
            <w:fldChar w:fldCharType="separate"/>
          </w:r>
          <w:r>
            <w:rPr>
              <w:b/>
              <w:bCs/>
            </w:rPr>
            <w:t>9</w:t>
          </w:r>
          <w:r>
            <w:rPr>
              <w:b/>
              <w:bCs/>
            </w:rPr>
            <w:fldChar w:fldCharType="end"/>
          </w:r>
          <w:r>
            <w:rPr>
              <w:b/>
              <w:bCs/>
            </w:rPr>
            <w:fldChar w:fldCharType="end"/>
          </w:r>
        </w:p>
        <w:p w14:paraId="7430C292">
          <w:pPr>
            <w:pStyle w:val="22"/>
            <w:tabs>
              <w:tab w:val="right" w:leader="dot" w:pos="8674"/>
            </w:tabs>
          </w:pPr>
          <w:r>
            <w:fldChar w:fldCharType="begin"/>
          </w:r>
          <w:r>
            <w:instrText xml:space="preserve"> HYPERLINK \l _Toc2704 </w:instrText>
          </w:r>
          <w:r>
            <w:fldChar w:fldCharType="separate"/>
          </w:r>
          <w:r>
            <w:rPr>
              <w:rFonts w:ascii="Times New Roman" w:hAnsi="Times New Roman" w:cs="Times New Roman"/>
            </w:rPr>
            <w:t xml:space="preserve">第一节 </w:t>
          </w:r>
          <w:r>
            <w:rPr>
              <w:rFonts w:hint="eastAsia" w:ascii="Times New Roman" w:hAnsi="Times New Roman" w:cs="Times New Roman"/>
            </w:rPr>
            <w:t>总体格局</w:t>
          </w:r>
          <w:r>
            <w:tab/>
          </w:r>
          <w:r>
            <w:fldChar w:fldCharType="begin"/>
          </w:r>
          <w:r>
            <w:instrText xml:space="preserve"> PAGEREF _Toc2704 \h </w:instrText>
          </w:r>
          <w:r>
            <w:fldChar w:fldCharType="separate"/>
          </w:r>
          <w:r>
            <w:t>9</w:t>
          </w:r>
          <w:r>
            <w:fldChar w:fldCharType="end"/>
          </w:r>
          <w:r>
            <w:fldChar w:fldCharType="end"/>
          </w:r>
        </w:p>
        <w:p w14:paraId="575049C7">
          <w:pPr>
            <w:pStyle w:val="22"/>
            <w:tabs>
              <w:tab w:val="right" w:leader="dot" w:pos="8674"/>
            </w:tabs>
          </w:pPr>
          <w:r>
            <w:fldChar w:fldCharType="begin"/>
          </w:r>
          <w:r>
            <w:instrText xml:space="preserve"> HYPERLINK \l _Toc22939 </w:instrText>
          </w:r>
          <w:r>
            <w:fldChar w:fldCharType="separate"/>
          </w:r>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规划分区</w:t>
          </w:r>
          <w:r>
            <w:tab/>
          </w:r>
          <w:r>
            <w:fldChar w:fldCharType="begin"/>
          </w:r>
          <w:r>
            <w:instrText xml:space="preserve"> PAGEREF _Toc22939 \h </w:instrText>
          </w:r>
          <w:r>
            <w:fldChar w:fldCharType="separate"/>
          </w:r>
          <w:r>
            <w:t>9</w:t>
          </w:r>
          <w:r>
            <w:fldChar w:fldCharType="end"/>
          </w:r>
          <w:r>
            <w:fldChar w:fldCharType="end"/>
          </w:r>
        </w:p>
        <w:p w14:paraId="78E97424">
          <w:pPr>
            <w:pStyle w:val="22"/>
            <w:tabs>
              <w:tab w:val="right" w:leader="dot" w:pos="8674"/>
            </w:tabs>
          </w:pPr>
          <w:r>
            <w:fldChar w:fldCharType="begin"/>
          </w:r>
          <w:r>
            <w:instrText xml:space="preserve"> HYPERLINK \l _Toc32047 </w:instrText>
          </w:r>
          <w:r>
            <w:fldChar w:fldCharType="separate"/>
          </w:r>
          <w:r>
            <w:rPr>
              <w:rFonts w:hint="eastAsia" w:ascii="Times New Roman" w:hAnsi="Times New Roman" w:cs="Times New Roman"/>
            </w:rPr>
            <w:t>第三节 用地结构调整与布局优化</w:t>
          </w:r>
          <w:r>
            <w:tab/>
          </w:r>
          <w:r>
            <w:fldChar w:fldCharType="begin"/>
          </w:r>
          <w:r>
            <w:instrText xml:space="preserve"> PAGEREF _Toc32047 \h </w:instrText>
          </w:r>
          <w:r>
            <w:fldChar w:fldCharType="separate"/>
          </w:r>
          <w:r>
            <w:t>13</w:t>
          </w:r>
          <w:r>
            <w:fldChar w:fldCharType="end"/>
          </w:r>
          <w:r>
            <w:fldChar w:fldCharType="end"/>
          </w:r>
        </w:p>
        <w:p w14:paraId="492FA41F">
          <w:pPr>
            <w:pStyle w:val="18"/>
            <w:tabs>
              <w:tab w:val="right" w:leader="dot" w:pos="8674"/>
            </w:tabs>
            <w:rPr>
              <w:b/>
              <w:bCs/>
            </w:rPr>
          </w:pPr>
          <w:r>
            <w:rPr>
              <w:b/>
              <w:bCs/>
            </w:rPr>
            <w:fldChar w:fldCharType="begin"/>
          </w:r>
          <w:r>
            <w:rPr>
              <w:b/>
              <w:bCs/>
            </w:rPr>
            <w:instrText xml:space="preserve"> HYPERLINK \l _Toc28425 </w:instrText>
          </w:r>
          <w:r>
            <w:rPr>
              <w:b/>
              <w:bCs/>
            </w:rPr>
            <w:fldChar w:fldCharType="separate"/>
          </w:r>
          <w:r>
            <w:rPr>
              <w:b/>
              <w:bCs/>
            </w:rPr>
            <w:t>第</w:t>
          </w:r>
          <w:r>
            <w:rPr>
              <w:rFonts w:hint="eastAsia"/>
              <w:b/>
              <w:bCs/>
            </w:rPr>
            <w:t>五</w:t>
          </w:r>
          <w:r>
            <w:rPr>
              <w:b/>
              <w:bCs/>
            </w:rPr>
            <w:t xml:space="preserve">章 </w:t>
          </w:r>
          <w:r>
            <w:rPr>
              <w:rFonts w:hint="eastAsia"/>
              <w:b/>
              <w:bCs/>
            </w:rPr>
            <w:t>自然资源保护与利用</w:t>
          </w:r>
          <w:r>
            <w:rPr>
              <w:b/>
              <w:bCs/>
            </w:rPr>
            <w:tab/>
          </w:r>
          <w:r>
            <w:rPr>
              <w:b/>
              <w:bCs/>
            </w:rPr>
            <w:fldChar w:fldCharType="begin"/>
          </w:r>
          <w:r>
            <w:rPr>
              <w:b/>
              <w:bCs/>
            </w:rPr>
            <w:instrText xml:space="preserve"> PAGEREF _Toc28425 \h </w:instrText>
          </w:r>
          <w:r>
            <w:rPr>
              <w:b/>
              <w:bCs/>
            </w:rPr>
            <w:fldChar w:fldCharType="separate"/>
          </w:r>
          <w:r>
            <w:rPr>
              <w:b/>
              <w:bCs/>
            </w:rPr>
            <w:t>17</w:t>
          </w:r>
          <w:r>
            <w:rPr>
              <w:b/>
              <w:bCs/>
            </w:rPr>
            <w:fldChar w:fldCharType="end"/>
          </w:r>
          <w:r>
            <w:rPr>
              <w:b/>
              <w:bCs/>
            </w:rPr>
            <w:fldChar w:fldCharType="end"/>
          </w:r>
        </w:p>
        <w:p w14:paraId="2393CBD8">
          <w:pPr>
            <w:pStyle w:val="22"/>
            <w:tabs>
              <w:tab w:val="right" w:leader="dot" w:pos="8674"/>
            </w:tabs>
          </w:pPr>
          <w:r>
            <w:fldChar w:fldCharType="begin"/>
          </w:r>
          <w:r>
            <w:instrText xml:space="preserve"> HYPERLINK \l _Toc6061 </w:instrText>
          </w:r>
          <w:r>
            <w:fldChar w:fldCharType="separate"/>
          </w:r>
          <w:r>
            <w:rPr>
              <w:rFonts w:ascii="Times New Roman" w:hAnsi="Times New Roman" w:cs="Times New Roman"/>
              <w:highlight w:val="none"/>
            </w:rPr>
            <w:t xml:space="preserve">第一节 </w:t>
          </w:r>
          <w:r>
            <w:rPr>
              <w:rFonts w:hint="eastAsia" w:ascii="Times New Roman" w:hAnsi="Times New Roman" w:cs="Times New Roman"/>
              <w:highlight w:val="none"/>
              <w:lang w:val="en-US" w:eastAsia="zh-CN"/>
            </w:rPr>
            <w:t>耕地资源保护利用</w:t>
          </w:r>
          <w:r>
            <w:tab/>
          </w:r>
          <w:r>
            <w:fldChar w:fldCharType="begin"/>
          </w:r>
          <w:r>
            <w:instrText xml:space="preserve"> PAGEREF _Toc6061 \h </w:instrText>
          </w:r>
          <w:r>
            <w:fldChar w:fldCharType="separate"/>
          </w:r>
          <w:r>
            <w:t>17</w:t>
          </w:r>
          <w:r>
            <w:fldChar w:fldCharType="end"/>
          </w:r>
          <w:r>
            <w:fldChar w:fldCharType="end"/>
          </w:r>
        </w:p>
        <w:p w14:paraId="5A95E44C">
          <w:pPr>
            <w:pStyle w:val="22"/>
            <w:tabs>
              <w:tab w:val="right" w:leader="dot" w:pos="8674"/>
            </w:tabs>
          </w:pPr>
          <w:r>
            <w:fldChar w:fldCharType="begin"/>
          </w:r>
          <w:r>
            <w:instrText xml:space="preserve"> HYPERLINK \l _Toc10072 </w:instrText>
          </w:r>
          <w:r>
            <w:fldChar w:fldCharType="separate"/>
          </w:r>
          <w:r>
            <w:rPr>
              <w:rFonts w:ascii="Times New Roman" w:hAnsi="Times New Roman" w:cs="Times New Roman"/>
              <w:highlight w:val="none"/>
            </w:rPr>
            <w:t>第</w:t>
          </w:r>
          <w:r>
            <w:rPr>
              <w:rFonts w:hint="eastAsia" w:ascii="Times New Roman" w:hAnsi="Times New Roman" w:cs="Times New Roman"/>
              <w:highlight w:val="none"/>
              <w:lang w:val="en-US" w:eastAsia="zh-CN"/>
            </w:rPr>
            <w:t>二</w:t>
          </w:r>
          <w:r>
            <w:rPr>
              <w:rFonts w:ascii="Times New Roman" w:hAnsi="Times New Roman" w:cs="Times New Roman"/>
              <w:highlight w:val="none"/>
            </w:rPr>
            <w:t xml:space="preserve">节 </w:t>
          </w:r>
          <w:r>
            <w:rPr>
              <w:rFonts w:hint="eastAsia" w:ascii="Times New Roman" w:hAnsi="Times New Roman" w:cs="Times New Roman"/>
              <w:highlight w:val="none"/>
              <w:lang w:val="en-US" w:eastAsia="zh-CN"/>
            </w:rPr>
            <w:t>建设用地集约节约</w:t>
          </w:r>
          <w:r>
            <w:rPr>
              <w:rFonts w:ascii="Times New Roman" w:hAnsi="Times New Roman" w:cs="Times New Roman"/>
              <w:highlight w:val="none"/>
            </w:rPr>
            <w:t>利用</w:t>
          </w:r>
          <w:r>
            <w:tab/>
          </w:r>
          <w:r>
            <w:fldChar w:fldCharType="begin"/>
          </w:r>
          <w:r>
            <w:instrText xml:space="preserve"> PAGEREF _Toc10072 \h </w:instrText>
          </w:r>
          <w:r>
            <w:fldChar w:fldCharType="separate"/>
          </w:r>
          <w:r>
            <w:t>18</w:t>
          </w:r>
          <w:r>
            <w:fldChar w:fldCharType="end"/>
          </w:r>
          <w:r>
            <w:fldChar w:fldCharType="end"/>
          </w:r>
        </w:p>
        <w:p w14:paraId="51FD58CC">
          <w:pPr>
            <w:pStyle w:val="22"/>
            <w:tabs>
              <w:tab w:val="right" w:leader="dot" w:pos="8674"/>
            </w:tabs>
          </w:pPr>
          <w:r>
            <w:fldChar w:fldCharType="begin"/>
          </w:r>
          <w:r>
            <w:instrText xml:space="preserve"> HYPERLINK \l _Toc3845 </w:instrText>
          </w:r>
          <w:r>
            <w:fldChar w:fldCharType="separate"/>
          </w:r>
          <w:r>
            <w:rPr>
              <w:rFonts w:ascii="Times New Roman" w:hAnsi="Times New Roman" w:cs="Times New Roman"/>
              <w:highlight w:val="none"/>
            </w:rPr>
            <w:t>第</w:t>
          </w:r>
          <w:r>
            <w:rPr>
              <w:rFonts w:hint="eastAsia" w:ascii="Times New Roman" w:hAnsi="Times New Roman" w:cs="Times New Roman"/>
              <w:highlight w:val="none"/>
              <w:lang w:eastAsia="zh-CN"/>
            </w:rPr>
            <w:t>三</w:t>
          </w:r>
          <w:r>
            <w:rPr>
              <w:rFonts w:ascii="Times New Roman" w:hAnsi="Times New Roman" w:cs="Times New Roman"/>
              <w:highlight w:val="none"/>
            </w:rPr>
            <w:t xml:space="preserve">节 </w:t>
          </w:r>
          <w:r>
            <w:rPr>
              <w:rFonts w:hint="eastAsia" w:ascii="Times New Roman" w:hAnsi="Times New Roman" w:cs="Times New Roman"/>
              <w:highlight w:val="none"/>
              <w:lang w:val="en-US" w:eastAsia="zh-CN"/>
            </w:rPr>
            <w:t>水资源</w:t>
          </w:r>
          <w:r>
            <w:rPr>
              <w:rFonts w:ascii="Times New Roman" w:hAnsi="Times New Roman" w:cs="Times New Roman"/>
              <w:highlight w:val="none"/>
            </w:rPr>
            <w:t>保护利用</w:t>
          </w:r>
          <w:r>
            <w:tab/>
          </w:r>
          <w:r>
            <w:fldChar w:fldCharType="begin"/>
          </w:r>
          <w:r>
            <w:instrText xml:space="preserve"> PAGEREF _Toc3845 \h </w:instrText>
          </w:r>
          <w:r>
            <w:fldChar w:fldCharType="separate"/>
          </w:r>
          <w:r>
            <w:t>18</w:t>
          </w:r>
          <w:r>
            <w:fldChar w:fldCharType="end"/>
          </w:r>
          <w:r>
            <w:fldChar w:fldCharType="end"/>
          </w:r>
        </w:p>
        <w:p w14:paraId="52446BBE">
          <w:pPr>
            <w:pStyle w:val="22"/>
            <w:tabs>
              <w:tab w:val="right" w:leader="dot" w:pos="8674"/>
            </w:tabs>
          </w:pPr>
          <w:r>
            <w:fldChar w:fldCharType="begin"/>
          </w:r>
          <w:r>
            <w:instrText xml:space="preserve"> HYPERLINK \l _Toc14755 </w:instrText>
          </w:r>
          <w:r>
            <w:fldChar w:fldCharType="separate"/>
          </w:r>
          <w:r>
            <w:rPr>
              <w:rFonts w:ascii="Times New Roman" w:hAnsi="Times New Roman" w:cs="Times New Roman"/>
              <w:highlight w:val="none"/>
            </w:rPr>
            <w:t>第</w:t>
          </w:r>
          <w:r>
            <w:rPr>
              <w:rFonts w:hint="eastAsia" w:ascii="Times New Roman" w:hAnsi="Times New Roman" w:cs="Times New Roman"/>
              <w:highlight w:val="none"/>
              <w:lang w:eastAsia="zh-CN"/>
            </w:rPr>
            <w:t>四</w:t>
          </w:r>
          <w:r>
            <w:rPr>
              <w:rFonts w:ascii="Times New Roman" w:hAnsi="Times New Roman" w:cs="Times New Roman"/>
              <w:highlight w:val="none"/>
            </w:rPr>
            <w:t xml:space="preserve">节 </w:t>
          </w:r>
          <w:r>
            <w:rPr>
              <w:rFonts w:hint="eastAsia" w:ascii="Times New Roman" w:hAnsi="Times New Roman" w:cs="Times New Roman"/>
              <w:highlight w:val="none"/>
              <w:lang w:val="en-US" w:eastAsia="zh-CN"/>
            </w:rPr>
            <w:t>林地与湿地</w:t>
          </w:r>
          <w:r>
            <w:rPr>
              <w:rFonts w:ascii="Times New Roman" w:hAnsi="Times New Roman" w:cs="Times New Roman"/>
              <w:highlight w:val="none"/>
            </w:rPr>
            <w:t>保护利用</w:t>
          </w:r>
          <w:r>
            <w:tab/>
          </w:r>
          <w:r>
            <w:fldChar w:fldCharType="begin"/>
          </w:r>
          <w:r>
            <w:instrText xml:space="preserve"> PAGEREF _Toc14755 \h </w:instrText>
          </w:r>
          <w:r>
            <w:fldChar w:fldCharType="separate"/>
          </w:r>
          <w:r>
            <w:t>19</w:t>
          </w:r>
          <w:r>
            <w:fldChar w:fldCharType="end"/>
          </w:r>
          <w:r>
            <w:fldChar w:fldCharType="end"/>
          </w:r>
        </w:p>
        <w:p w14:paraId="7B881664">
          <w:pPr>
            <w:pStyle w:val="22"/>
            <w:tabs>
              <w:tab w:val="right" w:leader="dot" w:pos="8674"/>
            </w:tabs>
          </w:pPr>
          <w:r>
            <w:fldChar w:fldCharType="begin"/>
          </w:r>
          <w:r>
            <w:instrText xml:space="preserve"> HYPERLINK \l _Toc25542 </w:instrText>
          </w:r>
          <w:r>
            <w:fldChar w:fldCharType="separate"/>
          </w:r>
          <w:r>
            <w:rPr>
              <w:rFonts w:ascii="Times New Roman" w:hAnsi="Times New Roman" w:cs="Times New Roman"/>
              <w:highlight w:val="none"/>
            </w:rPr>
            <w:t>第</w:t>
          </w:r>
          <w:r>
            <w:rPr>
              <w:rFonts w:hint="eastAsia" w:ascii="Times New Roman" w:hAnsi="Times New Roman" w:cs="Times New Roman"/>
              <w:highlight w:val="none"/>
              <w:lang w:eastAsia="zh-CN"/>
            </w:rPr>
            <w:t>五</w:t>
          </w:r>
          <w:r>
            <w:rPr>
              <w:rFonts w:ascii="Times New Roman" w:hAnsi="Times New Roman" w:cs="Times New Roman"/>
              <w:highlight w:val="none"/>
            </w:rPr>
            <w:t>节 矿产资源保护与利用</w:t>
          </w:r>
          <w:r>
            <w:tab/>
          </w:r>
          <w:r>
            <w:fldChar w:fldCharType="begin"/>
          </w:r>
          <w:r>
            <w:instrText xml:space="preserve"> PAGEREF _Toc25542 \h </w:instrText>
          </w:r>
          <w:r>
            <w:fldChar w:fldCharType="separate"/>
          </w:r>
          <w:r>
            <w:t>20</w:t>
          </w:r>
          <w:r>
            <w:fldChar w:fldCharType="end"/>
          </w:r>
          <w:r>
            <w:fldChar w:fldCharType="end"/>
          </w:r>
        </w:p>
        <w:p w14:paraId="6A1CCEB1">
          <w:pPr>
            <w:pStyle w:val="18"/>
            <w:tabs>
              <w:tab w:val="right" w:leader="dot" w:pos="8674"/>
            </w:tabs>
            <w:rPr>
              <w:b/>
              <w:bCs/>
            </w:rPr>
          </w:pPr>
          <w:r>
            <w:rPr>
              <w:b/>
              <w:bCs/>
            </w:rPr>
            <w:fldChar w:fldCharType="begin"/>
          </w:r>
          <w:r>
            <w:rPr>
              <w:b/>
              <w:bCs/>
            </w:rPr>
            <w:instrText xml:space="preserve"> HYPERLINK \l _Toc15003 </w:instrText>
          </w:r>
          <w:r>
            <w:rPr>
              <w:b/>
              <w:bCs/>
            </w:rPr>
            <w:fldChar w:fldCharType="separate"/>
          </w:r>
          <w:r>
            <w:rPr>
              <w:b/>
              <w:bCs/>
            </w:rPr>
            <w:t>第</w:t>
          </w:r>
          <w:r>
            <w:rPr>
              <w:rFonts w:hint="eastAsia"/>
              <w:b/>
              <w:bCs/>
              <w:lang w:eastAsia="zh-CN"/>
            </w:rPr>
            <w:t>六</w:t>
          </w:r>
          <w:r>
            <w:rPr>
              <w:b/>
              <w:bCs/>
            </w:rPr>
            <w:t xml:space="preserve">章 </w:t>
          </w:r>
          <w:r>
            <w:rPr>
              <w:rFonts w:hint="eastAsia"/>
              <w:b/>
              <w:bCs/>
            </w:rPr>
            <w:t>历史文化与景观风貌</w:t>
          </w:r>
          <w:r>
            <w:rPr>
              <w:b/>
              <w:bCs/>
            </w:rPr>
            <w:tab/>
          </w:r>
          <w:r>
            <w:rPr>
              <w:b/>
              <w:bCs/>
            </w:rPr>
            <w:fldChar w:fldCharType="begin"/>
          </w:r>
          <w:r>
            <w:rPr>
              <w:b/>
              <w:bCs/>
            </w:rPr>
            <w:instrText xml:space="preserve"> PAGEREF _Toc15003 \h </w:instrText>
          </w:r>
          <w:r>
            <w:rPr>
              <w:b/>
              <w:bCs/>
            </w:rPr>
            <w:fldChar w:fldCharType="separate"/>
          </w:r>
          <w:r>
            <w:rPr>
              <w:b/>
              <w:bCs/>
            </w:rPr>
            <w:t>21</w:t>
          </w:r>
          <w:r>
            <w:rPr>
              <w:b/>
              <w:bCs/>
            </w:rPr>
            <w:fldChar w:fldCharType="end"/>
          </w:r>
          <w:r>
            <w:rPr>
              <w:b/>
              <w:bCs/>
            </w:rPr>
            <w:fldChar w:fldCharType="end"/>
          </w:r>
        </w:p>
        <w:p w14:paraId="70640474">
          <w:pPr>
            <w:pStyle w:val="22"/>
            <w:tabs>
              <w:tab w:val="right" w:leader="dot" w:pos="8674"/>
            </w:tabs>
          </w:pPr>
          <w:r>
            <w:fldChar w:fldCharType="begin"/>
          </w:r>
          <w:r>
            <w:instrText xml:space="preserve"> HYPERLINK \l _Toc31951 </w:instrText>
          </w:r>
          <w:r>
            <w:fldChar w:fldCharType="separate"/>
          </w:r>
          <w:r>
            <w:rPr>
              <w:rFonts w:ascii="Times New Roman" w:hAnsi="Times New Roman" w:cs="Times New Roman"/>
            </w:rPr>
            <w:t xml:space="preserve">第一节 </w:t>
          </w:r>
          <w:r>
            <w:rPr>
              <w:rFonts w:hint="eastAsia" w:ascii="Times New Roman" w:hAnsi="Times New Roman" w:cs="Times New Roman"/>
            </w:rPr>
            <w:t>历史</w:t>
          </w:r>
          <w:r>
            <w:rPr>
              <w:rFonts w:ascii="Times New Roman" w:hAnsi="Times New Roman" w:cs="Times New Roman"/>
            </w:rPr>
            <w:t>文化保护</w:t>
          </w:r>
          <w:r>
            <w:tab/>
          </w:r>
          <w:r>
            <w:fldChar w:fldCharType="begin"/>
          </w:r>
          <w:r>
            <w:instrText xml:space="preserve"> PAGEREF _Toc31951 \h </w:instrText>
          </w:r>
          <w:r>
            <w:fldChar w:fldCharType="separate"/>
          </w:r>
          <w:r>
            <w:t>21</w:t>
          </w:r>
          <w:r>
            <w:fldChar w:fldCharType="end"/>
          </w:r>
          <w:r>
            <w:fldChar w:fldCharType="end"/>
          </w:r>
        </w:p>
        <w:p w14:paraId="75C3DAEE">
          <w:pPr>
            <w:pStyle w:val="22"/>
            <w:tabs>
              <w:tab w:val="right" w:leader="dot" w:pos="8674"/>
            </w:tabs>
          </w:pPr>
          <w:r>
            <w:fldChar w:fldCharType="begin"/>
          </w:r>
          <w:r>
            <w:instrText xml:space="preserve"> HYPERLINK \l _Toc20170 </w:instrText>
          </w:r>
          <w:r>
            <w:fldChar w:fldCharType="separate"/>
          </w:r>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景观风貌管控</w:t>
          </w:r>
          <w:r>
            <w:tab/>
          </w:r>
          <w:r>
            <w:fldChar w:fldCharType="begin"/>
          </w:r>
          <w:r>
            <w:instrText xml:space="preserve"> PAGEREF _Toc20170 \h </w:instrText>
          </w:r>
          <w:r>
            <w:fldChar w:fldCharType="separate"/>
          </w:r>
          <w:r>
            <w:t>23</w:t>
          </w:r>
          <w:r>
            <w:fldChar w:fldCharType="end"/>
          </w:r>
          <w:r>
            <w:fldChar w:fldCharType="end"/>
          </w:r>
        </w:p>
        <w:p w14:paraId="355A8478">
          <w:pPr>
            <w:pStyle w:val="18"/>
            <w:tabs>
              <w:tab w:val="right" w:leader="dot" w:pos="8674"/>
            </w:tabs>
            <w:rPr>
              <w:b/>
              <w:bCs/>
            </w:rPr>
          </w:pPr>
          <w:r>
            <w:rPr>
              <w:b/>
              <w:bCs/>
            </w:rPr>
            <w:fldChar w:fldCharType="begin"/>
          </w:r>
          <w:r>
            <w:rPr>
              <w:b/>
              <w:bCs/>
            </w:rPr>
            <w:instrText xml:space="preserve"> HYPERLINK \l _Toc2310 </w:instrText>
          </w:r>
          <w:r>
            <w:rPr>
              <w:b/>
              <w:bCs/>
            </w:rPr>
            <w:fldChar w:fldCharType="separate"/>
          </w:r>
          <w:r>
            <w:rPr>
              <w:b/>
              <w:bCs/>
            </w:rPr>
            <w:t>第</w:t>
          </w:r>
          <w:r>
            <w:rPr>
              <w:rFonts w:hint="eastAsia"/>
              <w:b/>
              <w:bCs/>
              <w:lang w:val="en-US" w:eastAsia="zh-CN"/>
            </w:rPr>
            <w:t>七</w:t>
          </w:r>
          <w:r>
            <w:rPr>
              <w:b/>
              <w:bCs/>
            </w:rPr>
            <w:t>章 国土综合整治与生态修复</w:t>
          </w:r>
          <w:r>
            <w:rPr>
              <w:b/>
              <w:bCs/>
            </w:rPr>
            <w:tab/>
          </w:r>
          <w:r>
            <w:rPr>
              <w:b/>
              <w:bCs/>
            </w:rPr>
            <w:fldChar w:fldCharType="begin"/>
          </w:r>
          <w:r>
            <w:rPr>
              <w:b/>
              <w:bCs/>
            </w:rPr>
            <w:instrText xml:space="preserve"> PAGEREF _Toc2310 \h </w:instrText>
          </w:r>
          <w:r>
            <w:rPr>
              <w:b/>
              <w:bCs/>
            </w:rPr>
            <w:fldChar w:fldCharType="separate"/>
          </w:r>
          <w:r>
            <w:rPr>
              <w:b/>
              <w:bCs/>
            </w:rPr>
            <w:t>24</w:t>
          </w:r>
          <w:r>
            <w:rPr>
              <w:b/>
              <w:bCs/>
            </w:rPr>
            <w:fldChar w:fldCharType="end"/>
          </w:r>
          <w:r>
            <w:rPr>
              <w:b/>
              <w:bCs/>
            </w:rPr>
            <w:fldChar w:fldCharType="end"/>
          </w:r>
        </w:p>
        <w:p w14:paraId="25985696">
          <w:pPr>
            <w:pStyle w:val="22"/>
            <w:tabs>
              <w:tab w:val="right" w:leader="dot" w:pos="8674"/>
            </w:tabs>
          </w:pPr>
          <w:r>
            <w:fldChar w:fldCharType="begin"/>
          </w:r>
          <w:r>
            <w:instrText xml:space="preserve"> HYPERLINK \l _Toc7159 </w:instrText>
          </w:r>
          <w:r>
            <w:fldChar w:fldCharType="separate"/>
          </w:r>
          <w:r>
            <w:rPr>
              <w:rFonts w:ascii="Times New Roman" w:hAnsi="Times New Roman" w:cs="Times New Roman"/>
            </w:rPr>
            <w:t>第一节 国土综合整治</w:t>
          </w:r>
          <w:r>
            <w:tab/>
          </w:r>
          <w:r>
            <w:fldChar w:fldCharType="begin"/>
          </w:r>
          <w:r>
            <w:instrText xml:space="preserve"> PAGEREF _Toc7159 \h </w:instrText>
          </w:r>
          <w:r>
            <w:fldChar w:fldCharType="separate"/>
          </w:r>
          <w:r>
            <w:t>24</w:t>
          </w:r>
          <w:r>
            <w:fldChar w:fldCharType="end"/>
          </w:r>
          <w:r>
            <w:fldChar w:fldCharType="end"/>
          </w:r>
        </w:p>
        <w:p w14:paraId="22DCC213">
          <w:pPr>
            <w:pStyle w:val="22"/>
            <w:tabs>
              <w:tab w:val="right" w:leader="dot" w:pos="8674"/>
            </w:tabs>
          </w:pPr>
          <w:r>
            <w:fldChar w:fldCharType="begin"/>
          </w:r>
          <w:r>
            <w:instrText xml:space="preserve"> HYPERLINK \l _Toc26537 </w:instrText>
          </w:r>
          <w:r>
            <w:fldChar w:fldCharType="separate"/>
          </w:r>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生态修复</w:t>
          </w:r>
          <w:r>
            <w:tab/>
          </w:r>
          <w:r>
            <w:fldChar w:fldCharType="begin"/>
          </w:r>
          <w:r>
            <w:instrText xml:space="preserve"> PAGEREF _Toc26537 \h </w:instrText>
          </w:r>
          <w:r>
            <w:fldChar w:fldCharType="separate"/>
          </w:r>
          <w:r>
            <w:t>25</w:t>
          </w:r>
          <w:r>
            <w:fldChar w:fldCharType="end"/>
          </w:r>
          <w:r>
            <w:fldChar w:fldCharType="end"/>
          </w:r>
        </w:p>
        <w:p w14:paraId="76A83083">
          <w:pPr>
            <w:pStyle w:val="18"/>
            <w:tabs>
              <w:tab w:val="right" w:leader="dot" w:pos="8674"/>
            </w:tabs>
            <w:rPr>
              <w:b/>
              <w:bCs/>
            </w:rPr>
          </w:pPr>
          <w:r>
            <w:rPr>
              <w:b/>
              <w:bCs/>
            </w:rPr>
            <w:fldChar w:fldCharType="begin"/>
          </w:r>
          <w:r>
            <w:rPr>
              <w:b/>
              <w:bCs/>
            </w:rPr>
            <w:instrText xml:space="preserve"> HYPERLINK \l _Toc23220 </w:instrText>
          </w:r>
          <w:r>
            <w:rPr>
              <w:b/>
              <w:bCs/>
            </w:rPr>
            <w:fldChar w:fldCharType="separate"/>
          </w:r>
          <w:r>
            <w:rPr>
              <w:b/>
              <w:bCs/>
            </w:rPr>
            <w:t>第</w:t>
          </w:r>
          <w:r>
            <w:rPr>
              <w:rFonts w:hint="eastAsia"/>
              <w:b/>
              <w:bCs/>
              <w:lang w:val="en-US" w:eastAsia="zh-CN"/>
            </w:rPr>
            <w:t>八</w:t>
          </w:r>
          <w:r>
            <w:rPr>
              <w:b/>
              <w:bCs/>
            </w:rPr>
            <w:t>章 国土</w:t>
          </w:r>
          <w:r>
            <w:rPr>
              <w:rFonts w:hint="eastAsia"/>
              <w:b/>
              <w:bCs/>
            </w:rPr>
            <w:t>空间支撑保障体系</w:t>
          </w:r>
          <w:r>
            <w:rPr>
              <w:b/>
              <w:bCs/>
            </w:rPr>
            <w:tab/>
          </w:r>
          <w:r>
            <w:rPr>
              <w:b/>
              <w:bCs/>
            </w:rPr>
            <w:fldChar w:fldCharType="begin"/>
          </w:r>
          <w:r>
            <w:rPr>
              <w:b/>
              <w:bCs/>
            </w:rPr>
            <w:instrText xml:space="preserve"> PAGEREF _Toc23220 \h </w:instrText>
          </w:r>
          <w:r>
            <w:rPr>
              <w:b/>
              <w:bCs/>
            </w:rPr>
            <w:fldChar w:fldCharType="separate"/>
          </w:r>
          <w:r>
            <w:rPr>
              <w:b/>
              <w:bCs/>
            </w:rPr>
            <w:t>26</w:t>
          </w:r>
          <w:r>
            <w:rPr>
              <w:b/>
              <w:bCs/>
            </w:rPr>
            <w:fldChar w:fldCharType="end"/>
          </w:r>
          <w:r>
            <w:rPr>
              <w:b/>
              <w:bCs/>
            </w:rPr>
            <w:fldChar w:fldCharType="end"/>
          </w:r>
        </w:p>
        <w:p w14:paraId="772D3EE2">
          <w:pPr>
            <w:pStyle w:val="22"/>
            <w:tabs>
              <w:tab w:val="right" w:leader="dot" w:pos="8674"/>
            </w:tabs>
          </w:pPr>
          <w:r>
            <w:fldChar w:fldCharType="begin"/>
          </w:r>
          <w:r>
            <w:instrText xml:space="preserve"> HYPERLINK \l _Toc5153 </w:instrText>
          </w:r>
          <w:r>
            <w:fldChar w:fldCharType="separate"/>
          </w:r>
          <w:r>
            <w:rPr>
              <w:rFonts w:ascii="Times New Roman" w:hAnsi="Times New Roman" w:cs="Times New Roman"/>
            </w:rPr>
            <w:t>第一节 综合交通</w:t>
          </w:r>
          <w:r>
            <w:tab/>
          </w:r>
          <w:r>
            <w:fldChar w:fldCharType="begin"/>
          </w:r>
          <w:r>
            <w:instrText xml:space="preserve"> PAGEREF _Toc5153 \h </w:instrText>
          </w:r>
          <w:r>
            <w:fldChar w:fldCharType="separate"/>
          </w:r>
          <w:r>
            <w:t>26</w:t>
          </w:r>
          <w:r>
            <w:fldChar w:fldCharType="end"/>
          </w:r>
          <w:r>
            <w:fldChar w:fldCharType="end"/>
          </w:r>
        </w:p>
        <w:p w14:paraId="4666B3EE">
          <w:pPr>
            <w:pStyle w:val="22"/>
            <w:tabs>
              <w:tab w:val="right" w:leader="dot" w:pos="8674"/>
            </w:tabs>
          </w:pPr>
          <w:r>
            <w:fldChar w:fldCharType="begin"/>
          </w:r>
          <w:r>
            <w:instrText xml:space="preserve"> HYPERLINK \l _Toc12639 </w:instrText>
          </w:r>
          <w:r>
            <w:fldChar w:fldCharType="separate"/>
          </w:r>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基础设施</w:t>
          </w:r>
          <w:r>
            <w:tab/>
          </w:r>
          <w:r>
            <w:fldChar w:fldCharType="begin"/>
          </w:r>
          <w:r>
            <w:instrText xml:space="preserve"> PAGEREF _Toc12639 \h </w:instrText>
          </w:r>
          <w:r>
            <w:fldChar w:fldCharType="separate"/>
          </w:r>
          <w:r>
            <w:t>27</w:t>
          </w:r>
          <w:r>
            <w:fldChar w:fldCharType="end"/>
          </w:r>
          <w:r>
            <w:fldChar w:fldCharType="end"/>
          </w:r>
        </w:p>
        <w:p w14:paraId="1E893F36">
          <w:pPr>
            <w:pStyle w:val="22"/>
            <w:tabs>
              <w:tab w:val="right" w:leader="dot" w:pos="8674"/>
            </w:tabs>
          </w:pPr>
          <w:r>
            <w:fldChar w:fldCharType="begin"/>
          </w:r>
          <w:r>
            <w:instrText xml:space="preserve"> HYPERLINK \l _Toc14726 </w:instrText>
          </w:r>
          <w:r>
            <w:fldChar w:fldCharType="separate"/>
          </w:r>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节 </w:t>
          </w:r>
          <w:r>
            <w:rPr>
              <w:rFonts w:hint="eastAsia" w:ascii="Times New Roman" w:hAnsi="Times New Roman" w:cs="Times New Roman"/>
            </w:rPr>
            <w:t>公共服务设施</w:t>
          </w:r>
          <w:r>
            <w:tab/>
          </w:r>
          <w:r>
            <w:fldChar w:fldCharType="begin"/>
          </w:r>
          <w:r>
            <w:instrText xml:space="preserve"> PAGEREF _Toc14726 \h </w:instrText>
          </w:r>
          <w:r>
            <w:fldChar w:fldCharType="separate"/>
          </w:r>
          <w:r>
            <w:t>30</w:t>
          </w:r>
          <w:r>
            <w:fldChar w:fldCharType="end"/>
          </w:r>
          <w:r>
            <w:fldChar w:fldCharType="end"/>
          </w:r>
        </w:p>
        <w:p w14:paraId="0E11BEC0">
          <w:pPr>
            <w:pStyle w:val="22"/>
            <w:tabs>
              <w:tab w:val="right" w:leader="dot" w:pos="8674"/>
            </w:tabs>
          </w:pPr>
          <w:r>
            <w:fldChar w:fldCharType="begin"/>
          </w:r>
          <w:r>
            <w:instrText xml:space="preserve"> HYPERLINK \l _Toc3098 </w:instrText>
          </w:r>
          <w:r>
            <w:fldChar w:fldCharType="separate"/>
          </w:r>
          <w:r>
            <w:rPr>
              <w:rFonts w:ascii="Times New Roman" w:hAnsi="Times New Roman" w:cs="Times New Roman"/>
            </w:rPr>
            <w:t>第</w:t>
          </w:r>
          <w:r>
            <w:rPr>
              <w:rFonts w:hint="eastAsia" w:ascii="Times New Roman" w:hAnsi="Times New Roman" w:cs="Times New Roman"/>
            </w:rPr>
            <w:t>四</w:t>
          </w:r>
          <w:r>
            <w:rPr>
              <w:rFonts w:ascii="Times New Roman" w:hAnsi="Times New Roman" w:cs="Times New Roman"/>
            </w:rPr>
            <w:t xml:space="preserve">节 </w:t>
          </w:r>
          <w:r>
            <w:rPr>
              <w:rFonts w:hint="eastAsia" w:ascii="Times New Roman" w:hAnsi="Times New Roman" w:cs="Times New Roman"/>
            </w:rPr>
            <w:t>综合防灾减灾</w:t>
          </w:r>
          <w:r>
            <w:tab/>
          </w:r>
          <w:r>
            <w:fldChar w:fldCharType="begin"/>
          </w:r>
          <w:r>
            <w:instrText xml:space="preserve"> PAGEREF _Toc3098 \h </w:instrText>
          </w:r>
          <w:r>
            <w:fldChar w:fldCharType="separate"/>
          </w:r>
          <w:r>
            <w:t>32</w:t>
          </w:r>
          <w:r>
            <w:fldChar w:fldCharType="end"/>
          </w:r>
          <w:r>
            <w:fldChar w:fldCharType="end"/>
          </w:r>
        </w:p>
        <w:p w14:paraId="3908F038">
          <w:pPr>
            <w:pStyle w:val="18"/>
            <w:tabs>
              <w:tab w:val="right" w:leader="dot" w:pos="8674"/>
            </w:tabs>
            <w:rPr>
              <w:b/>
              <w:bCs/>
            </w:rPr>
          </w:pPr>
          <w:r>
            <w:rPr>
              <w:b/>
              <w:bCs/>
            </w:rPr>
            <w:fldChar w:fldCharType="begin"/>
          </w:r>
          <w:r>
            <w:rPr>
              <w:b/>
              <w:bCs/>
            </w:rPr>
            <w:instrText xml:space="preserve"> HYPERLINK \l _Toc29495 </w:instrText>
          </w:r>
          <w:r>
            <w:rPr>
              <w:b/>
              <w:bCs/>
            </w:rPr>
            <w:fldChar w:fldCharType="separate"/>
          </w:r>
          <w:r>
            <w:rPr>
              <w:rFonts w:hint="eastAsia"/>
              <w:b/>
              <w:bCs/>
            </w:rPr>
            <w:t>第</w:t>
          </w:r>
          <w:r>
            <w:rPr>
              <w:rFonts w:hint="eastAsia"/>
              <w:b/>
              <w:bCs/>
              <w:lang w:val="en-US" w:eastAsia="zh-CN"/>
            </w:rPr>
            <w:t>九</w:t>
          </w:r>
          <w:r>
            <w:rPr>
              <w:rFonts w:hint="eastAsia"/>
              <w:b/>
              <w:bCs/>
            </w:rPr>
            <w:t>章 镇区规划</w:t>
          </w:r>
          <w:r>
            <w:rPr>
              <w:b/>
              <w:bCs/>
            </w:rPr>
            <w:tab/>
          </w:r>
          <w:r>
            <w:rPr>
              <w:b/>
              <w:bCs/>
            </w:rPr>
            <w:fldChar w:fldCharType="begin"/>
          </w:r>
          <w:r>
            <w:rPr>
              <w:b/>
              <w:bCs/>
            </w:rPr>
            <w:instrText xml:space="preserve"> PAGEREF _Toc29495 \h </w:instrText>
          </w:r>
          <w:r>
            <w:rPr>
              <w:b/>
              <w:bCs/>
            </w:rPr>
            <w:fldChar w:fldCharType="separate"/>
          </w:r>
          <w:r>
            <w:rPr>
              <w:b/>
              <w:bCs/>
            </w:rPr>
            <w:t>36</w:t>
          </w:r>
          <w:r>
            <w:rPr>
              <w:b/>
              <w:bCs/>
            </w:rPr>
            <w:fldChar w:fldCharType="end"/>
          </w:r>
          <w:r>
            <w:rPr>
              <w:b/>
              <w:bCs/>
            </w:rPr>
            <w:fldChar w:fldCharType="end"/>
          </w:r>
        </w:p>
        <w:p w14:paraId="310118C0">
          <w:pPr>
            <w:pStyle w:val="22"/>
            <w:tabs>
              <w:tab w:val="right" w:leader="dot" w:pos="8674"/>
            </w:tabs>
          </w:pPr>
          <w:r>
            <w:fldChar w:fldCharType="begin"/>
          </w:r>
          <w:r>
            <w:instrText xml:space="preserve"> HYPERLINK \l _Toc386 </w:instrText>
          </w:r>
          <w:r>
            <w:fldChar w:fldCharType="separate"/>
          </w:r>
          <w:r>
            <w:rPr>
              <w:rFonts w:hint="eastAsia"/>
            </w:rPr>
            <w:t>第一节 性质与规模</w:t>
          </w:r>
          <w:r>
            <w:tab/>
          </w:r>
          <w:r>
            <w:fldChar w:fldCharType="begin"/>
          </w:r>
          <w:r>
            <w:instrText xml:space="preserve"> PAGEREF _Toc386 \h </w:instrText>
          </w:r>
          <w:r>
            <w:fldChar w:fldCharType="separate"/>
          </w:r>
          <w:r>
            <w:t>36</w:t>
          </w:r>
          <w:r>
            <w:fldChar w:fldCharType="end"/>
          </w:r>
          <w:r>
            <w:fldChar w:fldCharType="end"/>
          </w:r>
        </w:p>
        <w:p w14:paraId="17EEDDC6">
          <w:pPr>
            <w:pStyle w:val="22"/>
            <w:tabs>
              <w:tab w:val="right" w:leader="dot" w:pos="8674"/>
            </w:tabs>
          </w:pPr>
          <w:r>
            <w:fldChar w:fldCharType="begin"/>
          </w:r>
          <w:r>
            <w:instrText xml:space="preserve"> HYPERLINK \l _Toc11055 </w:instrText>
          </w:r>
          <w:r>
            <w:fldChar w:fldCharType="separate"/>
          </w:r>
          <w:r>
            <w:rPr>
              <w:rFonts w:hint="eastAsia"/>
            </w:rPr>
            <w:t>第二节 功能结构和用地布局</w:t>
          </w:r>
          <w:r>
            <w:tab/>
          </w:r>
          <w:r>
            <w:fldChar w:fldCharType="begin"/>
          </w:r>
          <w:r>
            <w:instrText xml:space="preserve"> PAGEREF _Toc11055 \h </w:instrText>
          </w:r>
          <w:r>
            <w:fldChar w:fldCharType="separate"/>
          </w:r>
          <w:r>
            <w:t>37</w:t>
          </w:r>
          <w:r>
            <w:fldChar w:fldCharType="end"/>
          </w:r>
          <w:r>
            <w:fldChar w:fldCharType="end"/>
          </w:r>
        </w:p>
        <w:p w14:paraId="7DE4B826">
          <w:pPr>
            <w:pStyle w:val="22"/>
            <w:tabs>
              <w:tab w:val="right" w:leader="dot" w:pos="8674"/>
            </w:tabs>
          </w:pPr>
          <w:r>
            <w:fldChar w:fldCharType="begin"/>
          </w:r>
          <w:r>
            <w:instrText xml:space="preserve"> HYPERLINK \l _Toc4657 </w:instrText>
          </w:r>
          <w:r>
            <w:fldChar w:fldCharType="separate"/>
          </w:r>
          <w:r>
            <w:rPr>
              <w:rFonts w:hint="eastAsia"/>
            </w:rPr>
            <w:t>第三节 住房建设与人居环境</w:t>
          </w:r>
          <w:r>
            <w:tab/>
          </w:r>
          <w:r>
            <w:fldChar w:fldCharType="begin"/>
          </w:r>
          <w:r>
            <w:instrText xml:space="preserve"> PAGEREF _Toc4657 \h </w:instrText>
          </w:r>
          <w:r>
            <w:fldChar w:fldCharType="separate"/>
          </w:r>
          <w:r>
            <w:t>38</w:t>
          </w:r>
          <w:r>
            <w:fldChar w:fldCharType="end"/>
          </w:r>
          <w:r>
            <w:fldChar w:fldCharType="end"/>
          </w:r>
        </w:p>
        <w:p w14:paraId="290537C9">
          <w:pPr>
            <w:pStyle w:val="22"/>
            <w:tabs>
              <w:tab w:val="right" w:leader="dot" w:pos="8674"/>
            </w:tabs>
          </w:pPr>
          <w:r>
            <w:fldChar w:fldCharType="begin"/>
          </w:r>
          <w:r>
            <w:instrText xml:space="preserve"> HYPERLINK \l _Toc19452 </w:instrText>
          </w:r>
          <w:r>
            <w:fldChar w:fldCharType="separate"/>
          </w:r>
          <w:r>
            <w:rPr>
              <w:rFonts w:hint="eastAsia"/>
            </w:rPr>
            <w:t>第四节 道路交通</w:t>
          </w:r>
          <w:r>
            <w:tab/>
          </w:r>
          <w:r>
            <w:fldChar w:fldCharType="begin"/>
          </w:r>
          <w:r>
            <w:instrText xml:space="preserve"> PAGEREF _Toc19452 \h </w:instrText>
          </w:r>
          <w:r>
            <w:fldChar w:fldCharType="separate"/>
          </w:r>
          <w:r>
            <w:t>39</w:t>
          </w:r>
          <w:r>
            <w:fldChar w:fldCharType="end"/>
          </w:r>
          <w:r>
            <w:fldChar w:fldCharType="end"/>
          </w:r>
        </w:p>
        <w:p w14:paraId="0E9D284C">
          <w:pPr>
            <w:pStyle w:val="22"/>
            <w:tabs>
              <w:tab w:val="right" w:leader="dot" w:pos="8674"/>
            </w:tabs>
          </w:pPr>
          <w:r>
            <w:fldChar w:fldCharType="begin"/>
          </w:r>
          <w:r>
            <w:instrText xml:space="preserve"> HYPERLINK \l _Toc16727 </w:instrText>
          </w:r>
          <w:r>
            <w:fldChar w:fldCharType="separate"/>
          </w:r>
          <w:r>
            <w:rPr>
              <w:rFonts w:hint="eastAsia"/>
            </w:rPr>
            <w:t>第五节 公共管理与公共服务设施</w:t>
          </w:r>
          <w:r>
            <w:tab/>
          </w:r>
          <w:r>
            <w:fldChar w:fldCharType="begin"/>
          </w:r>
          <w:r>
            <w:instrText xml:space="preserve"> PAGEREF _Toc16727 \h </w:instrText>
          </w:r>
          <w:r>
            <w:fldChar w:fldCharType="separate"/>
          </w:r>
          <w:r>
            <w:t>40</w:t>
          </w:r>
          <w:r>
            <w:fldChar w:fldCharType="end"/>
          </w:r>
          <w:r>
            <w:fldChar w:fldCharType="end"/>
          </w:r>
        </w:p>
        <w:p w14:paraId="1F1DD5DC">
          <w:pPr>
            <w:pStyle w:val="22"/>
            <w:tabs>
              <w:tab w:val="right" w:leader="dot" w:pos="8674"/>
            </w:tabs>
          </w:pPr>
          <w:r>
            <w:fldChar w:fldCharType="begin"/>
          </w:r>
          <w:r>
            <w:instrText xml:space="preserve"> HYPERLINK \l _Toc27528 </w:instrText>
          </w:r>
          <w:r>
            <w:fldChar w:fldCharType="separate"/>
          </w:r>
          <w:r>
            <w:rPr>
              <w:rFonts w:hint="eastAsia"/>
            </w:rPr>
            <w:t>第六节 绿地与开敞空间</w:t>
          </w:r>
          <w:r>
            <w:tab/>
          </w:r>
          <w:r>
            <w:fldChar w:fldCharType="begin"/>
          </w:r>
          <w:r>
            <w:instrText xml:space="preserve"> PAGEREF _Toc27528 \h </w:instrText>
          </w:r>
          <w:r>
            <w:fldChar w:fldCharType="separate"/>
          </w:r>
          <w:r>
            <w:t>41</w:t>
          </w:r>
          <w:r>
            <w:fldChar w:fldCharType="end"/>
          </w:r>
          <w:r>
            <w:fldChar w:fldCharType="end"/>
          </w:r>
        </w:p>
        <w:p w14:paraId="5CF2618B">
          <w:pPr>
            <w:pStyle w:val="22"/>
            <w:tabs>
              <w:tab w:val="right" w:leader="dot" w:pos="8674"/>
            </w:tabs>
          </w:pPr>
          <w:r>
            <w:fldChar w:fldCharType="begin"/>
          </w:r>
          <w:r>
            <w:instrText xml:space="preserve"> HYPERLINK \l _Toc14044 </w:instrText>
          </w:r>
          <w:r>
            <w:fldChar w:fldCharType="separate"/>
          </w:r>
          <w:r>
            <w:rPr>
              <w:rFonts w:hint="eastAsia"/>
            </w:rPr>
            <w:t>第七节 市政基础设施</w:t>
          </w:r>
          <w:r>
            <w:tab/>
          </w:r>
          <w:r>
            <w:fldChar w:fldCharType="begin"/>
          </w:r>
          <w:r>
            <w:instrText xml:space="preserve"> PAGEREF _Toc14044 \h </w:instrText>
          </w:r>
          <w:r>
            <w:fldChar w:fldCharType="separate"/>
          </w:r>
          <w:r>
            <w:t>42</w:t>
          </w:r>
          <w:r>
            <w:fldChar w:fldCharType="end"/>
          </w:r>
          <w:r>
            <w:fldChar w:fldCharType="end"/>
          </w:r>
        </w:p>
        <w:p w14:paraId="6CB8A23A">
          <w:pPr>
            <w:pStyle w:val="22"/>
            <w:tabs>
              <w:tab w:val="right" w:leader="dot" w:pos="8674"/>
            </w:tabs>
          </w:pPr>
          <w:r>
            <w:fldChar w:fldCharType="begin"/>
          </w:r>
          <w:r>
            <w:instrText xml:space="preserve"> HYPERLINK \l _Toc32022 </w:instrText>
          </w:r>
          <w:r>
            <w:fldChar w:fldCharType="separate"/>
          </w:r>
          <w:r>
            <w:rPr>
              <w:rFonts w:hint="eastAsia"/>
            </w:rPr>
            <w:t>第八节 综合防灾减灾与公共安全</w:t>
          </w:r>
          <w:r>
            <w:tab/>
          </w:r>
          <w:r>
            <w:fldChar w:fldCharType="begin"/>
          </w:r>
          <w:r>
            <w:instrText xml:space="preserve"> PAGEREF _Toc32022 \h </w:instrText>
          </w:r>
          <w:r>
            <w:fldChar w:fldCharType="separate"/>
          </w:r>
          <w:r>
            <w:t>44</w:t>
          </w:r>
          <w:r>
            <w:fldChar w:fldCharType="end"/>
          </w:r>
          <w:r>
            <w:fldChar w:fldCharType="end"/>
          </w:r>
        </w:p>
        <w:p w14:paraId="39226E94">
          <w:pPr>
            <w:pStyle w:val="22"/>
            <w:tabs>
              <w:tab w:val="right" w:leader="dot" w:pos="8674"/>
            </w:tabs>
          </w:pPr>
          <w:r>
            <w:fldChar w:fldCharType="begin"/>
          </w:r>
          <w:r>
            <w:instrText xml:space="preserve"> HYPERLINK \l _Toc24568 </w:instrText>
          </w:r>
          <w:r>
            <w:fldChar w:fldCharType="separate"/>
          </w:r>
          <w:r>
            <w:rPr>
              <w:rFonts w:hint="eastAsia"/>
            </w:rPr>
            <w:t>第九节 “四线”划定与管控</w:t>
          </w:r>
          <w:r>
            <w:tab/>
          </w:r>
          <w:r>
            <w:fldChar w:fldCharType="begin"/>
          </w:r>
          <w:r>
            <w:instrText xml:space="preserve"> PAGEREF _Toc24568 \h </w:instrText>
          </w:r>
          <w:r>
            <w:fldChar w:fldCharType="separate"/>
          </w:r>
          <w:r>
            <w:t>46</w:t>
          </w:r>
          <w:r>
            <w:fldChar w:fldCharType="end"/>
          </w:r>
          <w:r>
            <w:fldChar w:fldCharType="end"/>
          </w:r>
        </w:p>
        <w:p w14:paraId="049B4B70">
          <w:pPr>
            <w:pStyle w:val="22"/>
            <w:tabs>
              <w:tab w:val="right" w:leader="dot" w:pos="8674"/>
            </w:tabs>
          </w:pPr>
          <w:r>
            <w:fldChar w:fldCharType="begin"/>
          </w:r>
          <w:r>
            <w:instrText xml:space="preserve"> HYPERLINK \l _Toc19477 </w:instrText>
          </w:r>
          <w:r>
            <w:fldChar w:fldCharType="separate"/>
          </w:r>
          <w:r>
            <w:rPr>
              <w:rFonts w:hint="eastAsia"/>
            </w:rPr>
            <w:t>第十节 风貌引导</w:t>
          </w:r>
          <w:r>
            <w:tab/>
          </w:r>
          <w:r>
            <w:fldChar w:fldCharType="begin"/>
          </w:r>
          <w:r>
            <w:instrText xml:space="preserve"> PAGEREF _Toc19477 \h </w:instrText>
          </w:r>
          <w:r>
            <w:fldChar w:fldCharType="separate"/>
          </w:r>
          <w:r>
            <w:t>47</w:t>
          </w:r>
          <w:r>
            <w:fldChar w:fldCharType="end"/>
          </w:r>
          <w:r>
            <w:fldChar w:fldCharType="end"/>
          </w:r>
        </w:p>
        <w:p w14:paraId="5B060CC6">
          <w:pPr>
            <w:pStyle w:val="18"/>
            <w:tabs>
              <w:tab w:val="right" w:leader="dot" w:pos="8674"/>
            </w:tabs>
            <w:rPr>
              <w:b/>
              <w:bCs/>
            </w:rPr>
          </w:pPr>
          <w:r>
            <w:rPr>
              <w:b/>
              <w:bCs/>
            </w:rPr>
            <w:fldChar w:fldCharType="begin"/>
          </w:r>
          <w:r>
            <w:rPr>
              <w:b/>
              <w:bCs/>
            </w:rPr>
            <w:instrText xml:space="preserve"> HYPERLINK \l _Toc26912 </w:instrText>
          </w:r>
          <w:r>
            <w:rPr>
              <w:b/>
              <w:bCs/>
            </w:rPr>
            <w:fldChar w:fldCharType="separate"/>
          </w:r>
          <w:r>
            <w:rPr>
              <w:b/>
              <w:bCs/>
            </w:rPr>
            <w:t xml:space="preserve">第十章 </w:t>
          </w:r>
          <w:r>
            <w:rPr>
              <w:rFonts w:hint="eastAsia"/>
              <w:b/>
              <w:bCs/>
            </w:rPr>
            <w:t>规划实施保障</w:t>
          </w:r>
          <w:r>
            <w:rPr>
              <w:b/>
              <w:bCs/>
            </w:rPr>
            <w:tab/>
          </w:r>
          <w:r>
            <w:rPr>
              <w:b/>
              <w:bCs/>
            </w:rPr>
            <w:fldChar w:fldCharType="begin"/>
          </w:r>
          <w:r>
            <w:rPr>
              <w:b/>
              <w:bCs/>
            </w:rPr>
            <w:instrText xml:space="preserve"> PAGEREF _Toc26912 \h </w:instrText>
          </w:r>
          <w:r>
            <w:rPr>
              <w:b/>
              <w:bCs/>
            </w:rPr>
            <w:fldChar w:fldCharType="separate"/>
          </w:r>
          <w:r>
            <w:rPr>
              <w:b/>
              <w:bCs/>
            </w:rPr>
            <w:t>49</w:t>
          </w:r>
          <w:r>
            <w:rPr>
              <w:b/>
              <w:bCs/>
            </w:rPr>
            <w:fldChar w:fldCharType="end"/>
          </w:r>
          <w:r>
            <w:rPr>
              <w:b/>
              <w:bCs/>
            </w:rPr>
            <w:fldChar w:fldCharType="end"/>
          </w:r>
        </w:p>
        <w:p w14:paraId="1CA3FA39">
          <w:pPr>
            <w:pStyle w:val="22"/>
            <w:tabs>
              <w:tab w:val="right" w:leader="dot" w:pos="8674"/>
            </w:tabs>
          </w:pPr>
          <w:r>
            <w:fldChar w:fldCharType="begin"/>
          </w:r>
          <w:r>
            <w:instrText xml:space="preserve"> HYPERLINK \l _Toc20166 </w:instrText>
          </w:r>
          <w:r>
            <w:fldChar w:fldCharType="separate"/>
          </w:r>
          <w:r>
            <w:rPr>
              <w:rFonts w:hint="eastAsia" w:ascii="Times New Roman" w:hAnsi="Times New Roman" w:cs="Times New Roman"/>
            </w:rPr>
            <w:t>第一节</w:t>
          </w:r>
          <w:r>
            <w:rPr>
              <w:rFonts w:hint="eastAsia" w:ascii="Times New Roman" w:hAnsi="Times New Roman" w:cs="Times New Roman"/>
              <w:lang w:val="en-US" w:eastAsia="zh-CN"/>
            </w:rPr>
            <w:t xml:space="preserve"> </w:t>
          </w:r>
          <w:r>
            <w:rPr>
              <w:rFonts w:hint="eastAsia" w:ascii="Times New Roman" w:hAnsi="Times New Roman" w:cs="Times New Roman"/>
            </w:rPr>
            <w:t>规划传导与指引</w:t>
          </w:r>
          <w:r>
            <w:tab/>
          </w:r>
          <w:r>
            <w:fldChar w:fldCharType="begin"/>
          </w:r>
          <w:r>
            <w:instrText xml:space="preserve"> PAGEREF _Toc20166 \h </w:instrText>
          </w:r>
          <w:r>
            <w:fldChar w:fldCharType="separate"/>
          </w:r>
          <w:r>
            <w:t>49</w:t>
          </w:r>
          <w:r>
            <w:fldChar w:fldCharType="end"/>
          </w:r>
          <w:r>
            <w:fldChar w:fldCharType="end"/>
          </w:r>
        </w:p>
        <w:p w14:paraId="4ECD6D24">
          <w:pPr>
            <w:pStyle w:val="22"/>
            <w:tabs>
              <w:tab w:val="right" w:leader="dot" w:pos="8674"/>
            </w:tabs>
          </w:pPr>
          <w:r>
            <w:fldChar w:fldCharType="begin"/>
          </w:r>
          <w:r>
            <w:instrText xml:space="preserve"> HYPERLINK \l _Toc1203 </w:instrText>
          </w:r>
          <w:r>
            <w:fldChar w:fldCharType="separate"/>
          </w:r>
          <w:r>
            <w:rPr>
              <w:rFonts w:hint="eastAsia" w:ascii="Times New Roman" w:hAnsi="Times New Roman" w:cs="Times New Roman"/>
            </w:rPr>
            <w:t>第二节 近期建设</w:t>
          </w:r>
          <w:r>
            <w:tab/>
          </w:r>
          <w:r>
            <w:fldChar w:fldCharType="begin"/>
          </w:r>
          <w:r>
            <w:instrText xml:space="preserve"> PAGEREF _Toc1203 \h </w:instrText>
          </w:r>
          <w:r>
            <w:fldChar w:fldCharType="separate"/>
          </w:r>
          <w:r>
            <w:t>52</w:t>
          </w:r>
          <w:r>
            <w:fldChar w:fldCharType="end"/>
          </w:r>
          <w:r>
            <w:fldChar w:fldCharType="end"/>
          </w:r>
        </w:p>
        <w:p w14:paraId="647BCF2D">
          <w:pPr>
            <w:pStyle w:val="22"/>
            <w:tabs>
              <w:tab w:val="right" w:leader="dot" w:pos="8674"/>
            </w:tabs>
          </w:pPr>
          <w:r>
            <w:fldChar w:fldCharType="begin"/>
          </w:r>
          <w:r>
            <w:instrText xml:space="preserve"> HYPERLINK \l _Toc5822 </w:instrText>
          </w:r>
          <w:r>
            <w:fldChar w:fldCharType="separate"/>
          </w:r>
          <w:r>
            <w:rPr>
              <w:rFonts w:hint="eastAsia" w:ascii="Times New Roman" w:hAnsi="Times New Roman" w:cs="Times New Roman"/>
            </w:rPr>
            <w:t>第三节 实施保障</w:t>
          </w:r>
          <w:r>
            <w:tab/>
          </w:r>
          <w:r>
            <w:fldChar w:fldCharType="begin"/>
          </w:r>
          <w:r>
            <w:instrText xml:space="preserve"> PAGEREF _Toc5822 \h </w:instrText>
          </w:r>
          <w:r>
            <w:fldChar w:fldCharType="separate"/>
          </w:r>
          <w:r>
            <w:t>53</w:t>
          </w:r>
          <w:r>
            <w:fldChar w:fldCharType="end"/>
          </w:r>
          <w:r>
            <w:fldChar w:fldCharType="end"/>
          </w:r>
        </w:p>
        <w:p w14:paraId="0884EABA">
          <w:pPr>
            <w:pStyle w:val="18"/>
            <w:tabs>
              <w:tab w:val="right" w:leader="dot" w:pos="8674"/>
            </w:tabs>
          </w:pPr>
          <w:r>
            <w:rPr>
              <w:b/>
              <w:bCs/>
            </w:rPr>
            <w:fldChar w:fldCharType="begin"/>
          </w:r>
          <w:r>
            <w:rPr>
              <w:b/>
              <w:bCs/>
            </w:rPr>
            <w:instrText xml:space="preserve"> HYPERLINK \l _Toc19416 </w:instrText>
          </w:r>
          <w:r>
            <w:rPr>
              <w:b/>
              <w:bCs/>
            </w:rPr>
            <w:fldChar w:fldCharType="separate"/>
          </w:r>
          <w:r>
            <w:rPr>
              <w:rFonts w:hint="eastAsia"/>
              <w:b/>
              <w:bCs/>
              <w:lang w:val="en-US" w:eastAsia="zh-CN"/>
            </w:rPr>
            <w:t>第十一章 红花铺镇“通则式”规划技术管理规定  </w:t>
          </w:r>
          <w:r>
            <w:rPr>
              <w:b/>
              <w:bCs/>
            </w:rPr>
            <w:tab/>
          </w:r>
          <w:r>
            <w:rPr>
              <w:b/>
              <w:bCs/>
            </w:rPr>
            <w:fldChar w:fldCharType="begin"/>
          </w:r>
          <w:r>
            <w:rPr>
              <w:b/>
              <w:bCs/>
            </w:rPr>
            <w:instrText xml:space="preserve"> PAGEREF _Toc19416 \h </w:instrText>
          </w:r>
          <w:r>
            <w:rPr>
              <w:b/>
              <w:bCs/>
            </w:rPr>
            <w:fldChar w:fldCharType="separate"/>
          </w:r>
          <w:r>
            <w:rPr>
              <w:b/>
              <w:bCs/>
            </w:rPr>
            <w:t>55</w:t>
          </w:r>
          <w:r>
            <w:rPr>
              <w:b/>
              <w:bCs/>
            </w:rPr>
            <w:fldChar w:fldCharType="end"/>
          </w:r>
          <w:r>
            <w:rPr>
              <w:b/>
              <w:bCs/>
            </w:rPr>
            <w:fldChar w:fldCharType="end"/>
          </w:r>
        </w:p>
        <w:p w14:paraId="6FD01043">
          <w:pPr>
            <w:pStyle w:val="22"/>
            <w:tabs>
              <w:tab w:val="right" w:leader="dot" w:pos="8674"/>
            </w:tabs>
          </w:pPr>
          <w:r>
            <w:fldChar w:fldCharType="begin"/>
          </w:r>
          <w:r>
            <w:instrText xml:space="preserve"> HYPERLINK \l _Toc13150 </w:instrText>
          </w:r>
          <w:r>
            <w:fldChar w:fldCharType="separate"/>
          </w:r>
          <w:r>
            <w:rPr>
              <w:rFonts w:hint="eastAsia" w:ascii="Times New Roman" w:hAnsi="Times New Roman" w:eastAsia="仿宋_GB2312" w:cs="Times New Roman"/>
              <w:bCs/>
              <w:kern w:val="2"/>
              <w:szCs w:val="32"/>
              <w:lang w:val="en-US" w:eastAsia="zh-CN" w:bidi="ar-SA"/>
            </w:rPr>
            <w:t>第</w:t>
          </w:r>
          <w:r>
            <w:rPr>
              <w:rFonts w:hint="eastAsia" w:ascii="Times New Roman" w:hAnsi="Times New Roman" w:cs="Times New Roman"/>
              <w:bCs/>
              <w:kern w:val="2"/>
              <w:szCs w:val="32"/>
              <w:lang w:val="en-US" w:eastAsia="zh-CN" w:bidi="ar-SA"/>
            </w:rPr>
            <w:t>一</w:t>
          </w:r>
          <w:r>
            <w:rPr>
              <w:rFonts w:hint="eastAsia" w:ascii="Times New Roman" w:hAnsi="Times New Roman" w:eastAsia="仿宋_GB2312" w:cs="Times New Roman"/>
              <w:bCs/>
              <w:kern w:val="2"/>
              <w:szCs w:val="32"/>
              <w:lang w:val="en-US" w:eastAsia="zh-CN" w:bidi="ar-SA"/>
            </w:rPr>
            <w:t>节</w:t>
          </w:r>
          <w:r>
            <w:rPr>
              <w:rFonts w:hint="eastAsia" w:ascii="Times New Roman" w:hAnsi="Times New Roman" w:cs="Times New Roman"/>
              <w:bCs/>
              <w:kern w:val="2"/>
              <w:szCs w:val="32"/>
              <w:lang w:val="en-US" w:eastAsia="zh-CN" w:bidi="ar-SA"/>
            </w:rPr>
            <w:t xml:space="preserve"> </w:t>
          </w:r>
          <w:r>
            <w:rPr>
              <w:rFonts w:hint="eastAsia" w:ascii="Times New Roman" w:hAnsi="Times New Roman" w:cs="Times New Roman"/>
              <w:lang w:val="en-US" w:eastAsia="zh-CN"/>
            </w:rPr>
            <w:t>村庄类型及概况</w:t>
          </w:r>
          <w:r>
            <w:tab/>
          </w:r>
          <w:r>
            <w:fldChar w:fldCharType="begin"/>
          </w:r>
          <w:r>
            <w:instrText xml:space="preserve"> PAGEREF _Toc13150 \h </w:instrText>
          </w:r>
          <w:r>
            <w:fldChar w:fldCharType="separate"/>
          </w:r>
          <w:r>
            <w:t>55</w:t>
          </w:r>
          <w:r>
            <w:fldChar w:fldCharType="end"/>
          </w:r>
          <w:r>
            <w:fldChar w:fldCharType="end"/>
          </w:r>
        </w:p>
        <w:p w14:paraId="01F114FC">
          <w:pPr>
            <w:pStyle w:val="22"/>
            <w:tabs>
              <w:tab w:val="right" w:leader="dot" w:pos="8674"/>
            </w:tabs>
          </w:pPr>
          <w:r>
            <w:fldChar w:fldCharType="begin"/>
          </w:r>
          <w:r>
            <w:instrText xml:space="preserve"> HYPERLINK \l _Toc28879 </w:instrText>
          </w:r>
          <w:r>
            <w:fldChar w:fldCharType="separate"/>
          </w:r>
          <w:r>
            <w:rPr>
              <w:rFonts w:hint="eastAsia" w:ascii="Times New Roman" w:hAnsi="Times New Roman" w:cs="Times New Roman"/>
              <w:highlight w:val="none"/>
            </w:rPr>
            <w:t>第</w:t>
          </w:r>
          <w:r>
            <w:rPr>
              <w:rFonts w:hint="eastAsia" w:ascii="Times New Roman" w:hAnsi="Times New Roman" w:cs="Times New Roman"/>
              <w:highlight w:val="none"/>
              <w:lang w:val="en-US" w:eastAsia="zh-CN"/>
            </w:rPr>
            <w:t>二</w:t>
          </w:r>
          <w:r>
            <w:rPr>
              <w:rFonts w:hint="eastAsia" w:ascii="Times New Roman" w:hAnsi="Times New Roman" w:cs="Times New Roman"/>
              <w:highlight w:val="none"/>
            </w:rPr>
            <w:t xml:space="preserve">节 </w:t>
          </w:r>
          <w:r>
            <w:rPr>
              <w:rFonts w:hint="eastAsia" w:ascii="Times New Roman" w:hAnsi="Times New Roman" w:cs="Times New Roman"/>
              <w:highlight w:val="none"/>
              <w:lang w:val="en-US" w:eastAsia="zh-CN"/>
            </w:rPr>
            <w:t>落实重要控制线</w:t>
          </w:r>
          <w:r>
            <w:tab/>
          </w:r>
          <w:r>
            <w:fldChar w:fldCharType="begin"/>
          </w:r>
          <w:r>
            <w:instrText xml:space="preserve"> PAGEREF _Toc28879 \h </w:instrText>
          </w:r>
          <w:r>
            <w:fldChar w:fldCharType="separate"/>
          </w:r>
          <w:r>
            <w:t>57</w:t>
          </w:r>
          <w:r>
            <w:fldChar w:fldCharType="end"/>
          </w:r>
          <w:r>
            <w:fldChar w:fldCharType="end"/>
          </w:r>
        </w:p>
        <w:p w14:paraId="43986F1B">
          <w:pPr>
            <w:pStyle w:val="22"/>
            <w:tabs>
              <w:tab w:val="right" w:leader="dot" w:pos="8674"/>
            </w:tabs>
          </w:pPr>
          <w:r>
            <w:fldChar w:fldCharType="begin"/>
          </w:r>
          <w:r>
            <w:instrText xml:space="preserve"> HYPERLINK \l _Toc7338 </w:instrText>
          </w:r>
          <w:r>
            <w:fldChar w:fldCharType="separate"/>
          </w:r>
          <w:r>
            <w:rPr>
              <w:rFonts w:hint="eastAsia" w:ascii="Times New Roman" w:hAnsi="Times New Roman" w:eastAsia="仿宋_GB2312" w:cs="Times New Roman"/>
              <w:bCs/>
              <w:kern w:val="2"/>
              <w:szCs w:val="32"/>
              <w:lang w:val="en-US" w:eastAsia="zh-CN" w:bidi="ar-SA"/>
            </w:rPr>
            <w:t>第</w:t>
          </w:r>
          <w:r>
            <w:rPr>
              <w:rFonts w:hint="eastAsia" w:ascii="Times New Roman" w:hAnsi="Times New Roman" w:cs="Times New Roman"/>
              <w:bCs/>
              <w:kern w:val="2"/>
              <w:szCs w:val="32"/>
              <w:lang w:val="en-US" w:eastAsia="zh-CN" w:bidi="ar-SA"/>
            </w:rPr>
            <w:t>三</w:t>
          </w:r>
          <w:r>
            <w:rPr>
              <w:rFonts w:hint="eastAsia" w:ascii="Times New Roman" w:hAnsi="Times New Roman" w:eastAsia="仿宋_GB2312" w:cs="Times New Roman"/>
              <w:bCs/>
              <w:kern w:val="2"/>
              <w:szCs w:val="32"/>
              <w:lang w:val="en-US" w:eastAsia="zh-CN" w:bidi="ar-SA"/>
            </w:rPr>
            <w:t>节</w:t>
          </w:r>
          <w:r>
            <w:rPr>
              <w:rFonts w:hint="eastAsia" w:ascii="Times New Roman" w:hAnsi="Times New Roman" w:cs="Times New Roman"/>
              <w:lang w:val="en-US" w:eastAsia="zh-CN"/>
            </w:rPr>
            <w:t xml:space="preserve"> </w:t>
          </w:r>
          <w:r>
            <w:rPr>
              <w:rFonts w:hint="eastAsia" w:ascii="Times New Roman" w:hAnsi="Times New Roman" w:cs="Times New Roman"/>
            </w:rPr>
            <w:t>公共服务和基础设施指引</w:t>
          </w:r>
          <w:r>
            <w:tab/>
          </w:r>
          <w:r>
            <w:fldChar w:fldCharType="begin"/>
          </w:r>
          <w:r>
            <w:instrText xml:space="preserve"> PAGEREF _Toc7338 \h </w:instrText>
          </w:r>
          <w:r>
            <w:fldChar w:fldCharType="separate"/>
          </w:r>
          <w:r>
            <w:t>58</w:t>
          </w:r>
          <w:r>
            <w:fldChar w:fldCharType="end"/>
          </w:r>
          <w:r>
            <w:fldChar w:fldCharType="end"/>
          </w:r>
        </w:p>
        <w:p w14:paraId="7B96087C">
          <w:pPr>
            <w:pStyle w:val="22"/>
            <w:tabs>
              <w:tab w:val="right" w:leader="dot" w:pos="8674"/>
            </w:tabs>
          </w:pPr>
          <w:r>
            <w:fldChar w:fldCharType="begin"/>
          </w:r>
          <w:r>
            <w:instrText xml:space="preserve"> HYPERLINK \l _Toc21379 </w:instrText>
          </w:r>
          <w:r>
            <w:fldChar w:fldCharType="separate"/>
          </w:r>
          <w:r>
            <w:rPr>
              <w:rFonts w:hint="eastAsia" w:ascii="Times New Roman" w:hAnsi="Times New Roman" w:eastAsia="仿宋_GB2312" w:cs="Times New Roman"/>
              <w:bCs/>
              <w:kern w:val="2"/>
              <w:szCs w:val="32"/>
              <w:lang w:val="en-US" w:eastAsia="zh-CN" w:bidi="ar-SA"/>
            </w:rPr>
            <w:t>第</w:t>
          </w:r>
          <w:r>
            <w:rPr>
              <w:rFonts w:hint="eastAsia" w:ascii="Times New Roman" w:hAnsi="Times New Roman" w:cs="Times New Roman"/>
              <w:bCs/>
              <w:kern w:val="2"/>
              <w:szCs w:val="32"/>
              <w:lang w:val="en-US" w:eastAsia="zh-CN" w:bidi="ar-SA"/>
            </w:rPr>
            <w:t>四</w:t>
          </w:r>
          <w:r>
            <w:rPr>
              <w:rFonts w:hint="eastAsia" w:ascii="Times New Roman" w:hAnsi="Times New Roman" w:eastAsia="仿宋_GB2312" w:cs="Times New Roman"/>
              <w:bCs/>
              <w:kern w:val="2"/>
              <w:szCs w:val="32"/>
              <w:lang w:val="en-US" w:eastAsia="zh-CN" w:bidi="ar-SA"/>
            </w:rPr>
            <w:t>节</w:t>
          </w:r>
          <w:r>
            <w:rPr>
              <w:rFonts w:hint="eastAsia" w:ascii="Times New Roman" w:hAnsi="Times New Roman" w:cs="Times New Roman"/>
              <w:lang w:val="en-US" w:eastAsia="zh-CN"/>
            </w:rPr>
            <w:t xml:space="preserve"> </w:t>
          </w:r>
          <w:r>
            <w:rPr>
              <w:rFonts w:hint="eastAsia" w:ascii="Times New Roman" w:hAnsi="Times New Roman" w:cs="Times New Roman"/>
            </w:rPr>
            <w:t>村庄建筑风貌和人居环境整治指引</w:t>
          </w:r>
          <w:r>
            <w:tab/>
          </w:r>
          <w:r>
            <w:fldChar w:fldCharType="begin"/>
          </w:r>
          <w:r>
            <w:instrText xml:space="preserve"> PAGEREF _Toc21379 \h </w:instrText>
          </w:r>
          <w:r>
            <w:fldChar w:fldCharType="separate"/>
          </w:r>
          <w:r>
            <w:t>60</w:t>
          </w:r>
          <w:r>
            <w:fldChar w:fldCharType="end"/>
          </w:r>
          <w:r>
            <w:fldChar w:fldCharType="end"/>
          </w:r>
        </w:p>
        <w:p w14:paraId="0D920B8C">
          <w:pPr>
            <w:pStyle w:val="18"/>
            <w:tabs>
              <w:tab w:val="right" w:leader="dot" w:pos="8674"/>
            </w:tabs>
            <w:rPr>
              <w:b/>
              <w:bCs/>
            </w:rPr>
          </w:pPr>
          <w:r>
            <w:rPr>
              <w:b/>
              <w:bCs/>
            </w:rPr>
            <w:fldChar w:fldCharType="begin"/>
          </w:r>
          <w:r>
            <w:rPr>
              <w:b/>
              <w:bCs/>
            </w:rPr>
            <w:instrText xml:space="preserve"> HYPERLINK \l _Toc2796 </w:instrText>
          </w:r>
          <w:r>
            <w:rPr>
              <w:b/>
              <w:bCs/>
            </w:rPr>
            <w:fldChar w:fldCharType="separate"/>
          </w:r>
          <w:r>
            <w:rPr>
              <w:rFonts w:ascii="Times New Roman" w:hAnsi="Times New Roman" w:cs="Times New Roman"/>
              <w:b/>
              <w:bCs/>
            </w:rPr>
            <w:t>附录</w:t>
          </w:r>
          <w:r>
            <w:rPr>
              <w:rFonts w:hint="eastAsia" w:ascii="Times New Roman" w:hAnsi="Times New Roman" w:cs="Times New Roman"/>
              <w:b/>
              <w:bCs/>
            </w:rPr>
            <w:t>1</w:t>
          </w:r>
          <w:r>
            <w:rPr>
              <w:rFonts w:ascii="Times New Roman" w:hAnsi="Times New Roman" w:cs="Times New Roman"/>
              <w:b/>
              <w:bCs/>
            </w:rPr>
            <w:t>：</w:t>
          </w:r>
          <w:r>
            <w:rPr>
              <w:rFonts w:hint="eastAsia" w:ascii="Times New Roman" w:hAnsi="Times New Roman" w:cs="Times New Roman"/>
              <w:b/>
              <w:bCs/>
              <w:lang w:eastAsia="zh-CN"/>
            </w:rPr>
            <w:t>凤县红花铺镇</w:t>
          </w:r>
          <w:r>
            <w:rPr>
              <w:rFonts w:ascii="Times New Roman" w:hAnsi="Times New Roman" w:cs="Times New Roman"/>
              <w:b/>
              <w:bCs/>
            </w:rPr>
            <w:t>国土空间规划附表</w:t>
          </w:r>
          <w:r>
            <w:rPr>
              <w:b/>
              <w:bCs/>
            </w:rPr>
            <w:tab/>
          </w:r>
          <w:r>
            <w:rPr>
              <w:b/>
              <w:bCs/>
            </w:rPr>
            <w:fldChar w:fldCharType="begin"/>
          </w:r>
          <w:r>
            <w:rPr>
              <w:b/>
              <w:bCs/>
            </w:rPr>
            <w:instrText xml:space="preserve"> PAGEREF _Toc2796 \h </w:instrText>
          </w:r>
          <w:r>
            <w:rPr>
              <w:b/>
              <w:bCs/>
            </w:rPr>
            <w:fldChar w:fldCharType="separate"/>
          </w:r>
          <w:r>
            <w:rPr>
              <w:b/>
              <w:bCs/>
            </w:rPr>
            <w:t>63</w:t>
          </w:r>
          <w:r>
            <w:rPr>
              <w:b/>
              <w:bCs/>
            </w:rPr>
            <w:fldChar w:fldCharType="end"/>
          </w:r>
          <w:r>
            <w:rPr>
              <w:b/>
              <w:bCs/>
            </w:rPr>
            <w:fldChar w:fldCharType="end"/>
          </w:r>
        </w:p>
        <w:p w14:paraId="79AA9133">
          <w:pPr>
            <w:pStyle w:val="18"/>
            <w:tabs>
              <w:tab w:val="right" w:leader="dot" w:pos="8674"/>
            </w:tabs>
            <w:rPr>
              <w:b/>
              <w:bCs/>
            </w:rPr>
          </w:pPr>
          <w:r>
            <w:rPr>
              <w:b/>
              <w:bCs/>
            </w:rPr>
            <w:fldChar w:fldCharType="begin"/>
          </w:r>
          <w:r>
            <w:rPr>
              <w:b/>
              <w:bCs/>
            </w:rPr>
            <w:instrText xml:space="preserve"> HYPERLINK \l _Toc11265 </w:instrText>
          </w:r>
          <w:r>
            <w:rPr>
              <w:b/>
              <w:bCs/>
            </w:rPr>
            <w:fldChar w:fldCharType="separate"/>
          </w:r>
          <w:r>
            <w:rPr>
              <w:rFonts w:ascii="Times New Roman" w:hAnsi="Times New Roman" w:cs="Times New Roman"/>
              <w:b/>
              <w:bCs/>
            </w:rPr>
            <w:t>附录</w:t>
          </w:r>
          <w:r>
            <w:rPr>
              <w:rFonts w:hint="eastAsia" w:ascii="Times New Roman" w:hAnsi="Times New Roman" w:cs="Times New Roman"/>
              <w:b/>
              <w:bCs/>
              <w:lang w:val="en-US" w:eastAsia="zh-CN"/>
            </w:rPr>
            <w:t>2</w:t>
          </w:r>
          <w:r>
            <w:rPr>
              <w:rFonts w:ascii="Times New Roman" w:hAnsi="Times New Roman" w:cs="Times New Roman"/>
              <w:b/>
              <w:bCs/>
            </w:rPr>
            <w:t>：</w:t>
          </w:r>
          <w:r>
            <w:rPr>
              <w:rFonts w:hint="eastAsia" w:ascii="Times New Roman" w:hAnsi="Times New Roman" w:cs="Times New Roman"/>
              <w:b/>
              <w:bCs/>
              <w:lang w:eastAsia="zh-CN"/>
            </w:rPr>
            <w:t>凤县红花铺镇</w:t>
          </w:r>
          <w:r>
            <w:rPr>
              <w:rFonts w:ascii="Times New Roman" w:hAnsi="Times New Roman" w:cs="Times New Roman"/>
              <w:b/>
              <w:bCs/>
            </w:rPr>
            <w:t>国土空间规划附</w:t>
          </w:r>
          <w:r>
            <w:rPr>
              <w:rFonts w:hint="eastAsia" w:ascii="Times New Roman" w:hAnsi="Times New Roman" w:cs="Times New Roman"/>
              <w:b/>
              <w:bCs/>
              <w:lang w:eastAsia="zh-CN"/>
            </w:rPr>
            <w:t>图</w:t>
          </w:r>
          <w:r>
            <w:rPr>
              <w:b/>
              <w:bCs/>
            </w:rPr>
            <w:tab/>
          </w:r>
          <w:r>
            <w:rPr>
              <w:b/>
              <w:bCs/>
            </w:rPr>
            <w:fldChar w:fldCharType="begin"/>
          </w:r>
          <w:r>
            <w:rPr>
              <w:b/>
              <w:bCs/>
            </w:rPr>
            <w:instrText xml:space="preserve"> PAGEREF _Toc11265 \h </w:instrText>
          </w:r>
          <w:r>
            <w:rPr>
              <w:b/>
              <w:bCs/>
            </w:rPr>
            <w:fldChar w:fldCharType="separate"/>
          </w:r>
          <w:r>
            <w:rPr>
              <w:b/>
              <w:bCs/>
            </w:rPr>
            <w:t>74</w:t>
          </w:r>
          <w:r>
            <w:rPr>
              <w:b/>
              <w:bCs/>
            </w:rPr>
            <w:fldChar w:fldCharType="end"/>
          </w:r>
          <w:r>
            <w:rPr>
              <w:b/>
              <w:bCs/>
            </w:rPr>
            <w:fldChar w:fldCharType="end"/>
          </w:r>
        </w:p>
        <w:p w14:paraId="036B54F3">
          <w:r>
            <w:fldChar w:fldCharType="end"/>
          </w:r>
        </w:p>
        <w:p w14:paraId="451619BC">
          <w:pPr>
            <w:pStyle w:val="18"/>
            <w:keepNext w:val="0"/>
            <w:keepLines w:val="0"/>
            <w:pageBreakBefore w:val="0"/>
            <w:widowControl/>
            <w:tabs>
              <w:tab w:val="right" w:leader="dot" w:pos="8674"/>
            </w:tabs>
            <w:kinsoku/>
            <w:wordWrap/>
            <w:overflowPunct/>
            <w:topLinePunct w:val="0"/>
            <w:autoSpaceDE/>
            <w:autoSpaceDN/>
            <w:bidi w:val="0"/>
            <w:adjustRightInd/>
            <w:snapToGrid/>
            <w:ind w:firstLine="0" w:firstLineChars="0"/>
            <w:textAlignment w:val="auto"/>
            <w:rPr>
              <w:rFonts w:ascii="Times New Roman" w:hAnsi="Times New Roman" w:eastAsia="方正大标宋简体" w:cs="Times New Roman"/>
              <w:sz w:val="36"/>
              <w:szCs w:val="36"/>
            </w:rPr>
            <w:sectPr>
              <w:headerReference r:id="rId13" w:type="default"/>
              <w:footerReference r:id="rId14" w:type="default"/>
              <w:pgSz w:w="11906" w:h="16838"/>
              <w:pgMar w:top="1440" w:right="1531" w:bottom="1440" w:left="1701" w:header="794" w:footer="737" w:gutter="0"/>
              <w:pgNumType w:fmt="upperRoman" w:start="1"/>
              <w:cols w:space="425" w:num="1"/>
              <w:docGrid w:type="lines" w:linePitch="408" w:charSpace="0"/>
            </w:sectPr>
          </w:pPr>
        </w:p>
      </w:sdtContent>
    </w:sdt>
    <w:p w14:paraId="667513D7">
      <w:pPr>
        <w:pStyle w:val="3"/>
        <w:spacing w:before="204" w:after="81"/>
        <w:ind w:firstLine="0" w:firstLineChars="0"/>
        <w:rPr>
          <w:rFonts w:ascii="Times New Roman" w:hAnsi="Times New Roman" w:cs="Times New Roman"/>
          <w:b/>
          <w:bCs w:val="0"/>
        </w:rPr>
      </w:pPr>
      <w:bookmarkStart w:id="16" w:name="_Toc15851"/>
      <w:bookmarkStart w:id="17" w:name="_Toc4996"/>
      <w:r>
        <w:rPr>
          <w:rFonts w:ascii="Times New Roman" w:hAnsi="Times New Roman" w:cs="Times New Roman"/>
          <w:b/>
          <w:bCs w:val="0"/>
        </w:rPr>
        <w:t>第</w:t>
      </w:r>
      <w:r>
        <w:rPr>
          <w:rFonts w:hint="eastAsia" w:ascii="Times New Roman" w:hAnsi="Times New Roman" w:cs="Times New Roman"/>
          <w:b/>
          <w:bCs w:val="0"/>
        </w:rPr>
        <w:t>一</w:t>
      </w:r>
      <w:r>
        <w:rPr>
          <w:rFonts w:ascii="Times New Roman" w:hAnsi="Times New Roman" w:cs="Times New Roman"/>
          <w:b/>
          <w:bCs w:val="0"/>
        </w:rPr>
        <w:t xml:space="preserve">章  </w:t>
      </w:r>
      <w:r>
        <w:rPr>
          <w:rFonts w:hint="eastAsia" w:ascii="Times New Roman" w:hAnsi="Times New Roman" w:cs="Times New Roman"/>
          <w:b/>
          <w:bCs w:val="0"/>
          <w:lang w:eastAsia="zh-CN"/>
        </w:rPr>
        <w:t>规划基础</w:t>
      </w:r>
      <w:bookmarkEnd w:id="16"/>
      <w:bookmarkEnd w:id="17"/>
    </w:p>
    <w:p w14:paraId="08C9771D">
      <w:pPr>
        <w:pStyle w:val="4"/>
        <w:spacing w:before="204" w:after="81"/>
        <w:ind w:firstLine="0" w:firstLineChars="0"/>
        <w:rPr>
          <w:rFonts w:ascii="Times New Roman" w:hAnsi="Times New Roman" w:cs="Times New Roman"/>
        </w:rPr>
      </w:pPr>
      <w:bookmarkStart w:id="18" w:name="_Toc15667"/>
      <w:bookmarkStart w:id="19" w:name="_Toc14587"/>
      <w:r>
        <w:rPr>
          <w:rFonts w:ascii="Times New Roman" w:hAnsi="Times New Roman" w:cs="Times New Roman"/>
        </w:rPr>
        <w:t xml:space="preserve">第一节  </w:t>
      </w:r>
      <w:r>
        <w:rPr>
          <w:rFonts w:hint="eastAsia" w:ascii="Times New Roman" w:hAnsi="Times New Roman" w:cs="Times New Roman"/>
        </w:rPr>
        <w:t>基本地理特征</w:t>
      </w:r>
      <w:bookmarkEnd w:id="18"/>
      <w:bookmarkEnd w:id="19"/>
    </w:p>
    <w:p w14:paraId="5E2995BA">
      <w:pPr>
        <w:ind w:firstLine="602"/>
        <w:rPr>
          <w:rFonts w:hint="eastAsia" w:ascii="Times New Roman" w:hAnsi="Times New Roman" w:eastAsia="仿宋_GB2312" w:cs="Times New Roman"/>
          <w:lang w:eastAsia="zh-CN"/>
        </w:rPr>
      </w:pPr>
      <w:r>
        <w:rPr>
          <w:rFonts w:hint="eastAsia" w:ascii="Times New Roman" w:hAnsi="Times New Roman" w:cs="Times New Roman"/>
          <w:b/>
          <w:bCs/>
          <w:szCs w:val="30"/>
          <w:lang w:eastAsia="zh-CN"/>
        </w:rPr>
        <w:t>地处</w:t>
      </w:r>
      <w:r>
        <w:rPr>
          <w:rFonts w:hint="eastAsia" w:ascii="Times New Roman" w:hAnsi="Times New Roman" w:cs="Times New Roman"/>
          <w:b/>
          <w:bCs/>
          <w:szCs w:val="30"/>
        </w:rPr>
        <w:t>秦岭南麓</w:t>
      </w:r>
      <w:r>
        <w:rPr>
          <w:rFonts w:hint="eastAsia" w:ascii="Times New Roman" w:hAnsi="Times New Roman" w:cs="Times New Roman"/>
          <w:b/>
          <w:bCs/>
          <w:szCs w:val="30"/>
          <w:lang w:eastAsia="zh-CN"/>
        </w:rPr>
        <w:t>腹地</w:t>
      </w:r>
      <w:r>
        <w:rPr>
          <w:rFonts w:hint="eastAsia" w:ascii="Times New Roman" w:hAnsi="Times New Roman" w:cs="Times New Roman"/>
          <w:b/>
          <w:bCs/>
          <w:szCs w:val="30"/>
        </w:rPr>
        <w:t>，</w:t>
      </w:r>
      <w:r>
        <w:rPr>
          <w:rFonts w:hint="eastAsia" w:ascii="Times New Roman" w:hAnsi="Times New Roman" w:cs="Times New Roman"/>
          <w:b/>
          <w:bCs/>
          <w:szCs w:val="30"/>
          <w:lang w:eastAsia="zh-CN"/>
        </w:rPr>
        <w:t>交通</w:t>
      </w:r>
      <w:r>
        <w:rPr>
          <w:rFonts w:hint="eastAsia" w:ascii="Times New Roman" w:hAnsi="Times New Roman" w:cs="Times New Roman"/>
          <w:b/>
          <w:bCs/>
          <w:szCs w:val="30"/>
          <w:highlight w:val="none"/>
        </w:rPr>
        <w:t>区位</w:t>
      </w:r>
      <w:r>
        <w:rPr>
          <w:rFonts w:hint="eastAsia" w:ascii="Times New Roman" w:hAnsi="Times New Roman" w:cs="Times New Roman"/>
          <w:b/>
          <w:bCs/>
          <w:szCs w:val="30"/>
          <w:highlight w:val="none"/>
          <w:lang w:eastAsia="zh-CN"/>
        </w:rPr>
        <w:t>优越</w:t>
      </w:r>
      <w:r>
        <w:rPr>
          <w:rFonts w:ascii="Times New Roman" w:hAnsi="Times New Roman" w:cs="Times New Roman"/>
          <w:szCs w:val="30"/>
        </w:rPr>
        <w:t>。</w:t>
      </w:r>
      <w:r>
        <w:rPr>
          <w:rFonts w:hint="eastAsia" w:ascii="Times New Roman" w:hAnsi="Times New Roman" w:cs="Times New Roman"/>
          <w:lang w:eastAsia="zh-CN"/>
        </w:rPr>
        <w:t>红花铺</w:t>
      </w:r>
      <w:r>
        <w:rPr>
          <w:rFonts w:hint="eastAsia" w:ascii="Times New Roman" w:hAnsi="Times New Roman" w:cs="Times New Roman"/>
        </w:rPr>
        <w:t>镇位于凤县东北</w:t>
      </w:r>
      <w:r>
        <w:rPr>
          <w:rFonts w:hint="eastAsia" w:ascii="Times New Roman" w:hAnsi="Times New Roman" w:cs="Times New Roman"/>
          <w:lang w:eastAsia="zh-CN"/>
        </w:rPr>
        <w:t>部</w:t>
      </w:r>
      <w:r>
        <w:rPr>
          <w:rFonts w:hint="eastAsia" w:ascii="Times New Roman" w:hAnsi="Times New Roman" w:cs="Times New Roman"/>
        </w:rPr>
        <w:t>，地处嘉陵江源头</w:t>
      </w:r>
      <w:r>
        <w:rPr>
          <w:rFonts w:hint="eastAsia" w:ascii="Times New Roman" w:hAnsi="Times New Roman" w:cs="Times New Roman"/>
          <w:lang w:eastAsia="zh-CN"/>
        </w:rPr>
        <w:t>，</w:t>
      </w:r>
      <w:r>
        <w:rPr>
          <w:rFonts w:hint="eastAsia" w:ascii="Times New Roman" w:hAnsi="Times New Roman" w:cs="Times New Roman"/>
        </w:rPr>
        <w:t>东与河口镇相邻，南与凤州镇接壤，西与唐藏镇相连，北与黄牛铺镇毗邻</w:t>
      </w:r>
      <w:r>
        <w:rPr>
          <w:rFonts w:hint="eastAsia" w:ascii="Times New Roman" w:hAnsi="Times New Roman" w:cs="Times New Roman"/>
          <w:lang w:eastAsia="zh-CN"/>
        </w:rPr>
        <w:t>，镇区</w:t>
      </w:r>
      <w:r>
        <w:rPr>
          <w:rFonts w:hint="eastAsia" w:ascii="Times New Roman" w:hAnsi="Times New Roman" w:cs="Times New Roman"/>
        </w:rPr>
        <w:t>距</w:t>
      </w:r>
      <w:r>
        <w:rPr>
          <w:rFonts w:hint="eastAsia" w:ascii="Times New Roman" w:hAnsi="Times New Roman" w:cs="Times New Roman"/>
          <w:lang w:eastAsia="zh-CN"/>
        </w:rPr>
        <w:t>凤县</w:t>
      </w:r>
      <w:r>
        <w:rPr>
          <w:rFonts w:hint="eastAsia" w:ascii="Times New Roman" w:hAnsi="Times New Roman" w:cs="Times New Roman"/>
        </w:rPr>
        <w:t>县城4</w:t>
      </w:r>
      <w:r>
        <w:rPr>
          <w:rFonts w:hint="eastAsia" w:ascii="Times New Roman" w:hAnsi="Times New Roman" w:cs="Times New Roman"/>
          <w:lang w:val="en-US" w:eastAsia="zh-CN"/>
        </w:rPr>
        <w:t>2</w:t>
      </w:r>
      <w:r>
        <w:rPr>
          <w:rFonts w:hint="eastAsia" w:ascii="Times New Roman" w:hAnsi="Times New Roman" w:cs="Times New Roman"/>
        </w:rPr>
        <w:t>公里，距宝鸡市区60公里</w:t>
      </w:r>
      <w:r>
        <w:rPr>
          <w:rFonts w:hint="eastAsia" w:ascii="Times New Roman" w:hAnsi="Times New Roman" w:cs="Times New Roman"/>
          <w:lang w:eastAsia="zh-CN"/>
        </w:rPr>
        <w:t>。</w:t>
      </w:r>
      <w:r>
        <w:rPr>
          <w:rFonts w:hint="eastAsia" w:ascii="Times New Roman" w:hAnsi="Times New Roman" w:cs="Times New Roman"/>
        </w:rPr>
        <w:t>镇域内</w:t>
      </w:r>
      <w:r>
        <w:rPr>
          <w:rFonts w:hint="eastAsia" w:ascii="Times New Roman" w:hAnsi="Times New Roman" w:cs="Times New Roman"/>
          <w:lang w:val="en-US" w:eastAsia="zh-CN"/>
        </w:rPr>
        <w:t>宝成铁路贯穿红花铺镇全境，且设有油坊沟站、红花铺站2个途经站点，是红花铺镇与宝鸡、成都连接的主要对外交通要道；</w:t>
      </w:r>
      <w:r>
        <w:rPr>
          <w:rFonts w:hint="eastAsia" w:ascii="Times New Roman" w:hAnsi="Times New Roman" w:cs="Times New Roman"/>
          <w:lang w:eastAsia="zh-CN"/>
        </w:rPr>
        <w:t>S21</w:t>
      </w:r>
      <w:r>
        <w:rPr>
          <w:rFonts w:hint="eastAsia" w:ascii="Times New Roman" w:hAnsi="Times New Roman" w:cs="Times New Roman"/>
          <w:lang w:val="en-US" w:eastAsia="zh-CN"/>
        </w:rPr>
        <w:t>9南北</w:t>
      </w:r>
      <w:r>
        <w:rPr>
          <w:rFonts w:hint="eastAsia" w:ascii="Times New Roman" w:hAnsi="Times New Roman" w:cs="Times New Roman"/>
          <w:lang w:eastAsia="zh-CN"/>
        </w:rPr>
        <w:t>贯穿全境</w:t>
      </w:r>
      <w:r>
        <w:rPr>
          <w:rFonts w:hint="eastAsia" w:ascii="Times New Roman" w:hAnsi="Times New Roman" w:cs="Times New Roman"/>
        </w:rPr>
        <w:t>，是连接</w:t>
      </w:r>
      <w:r>
        <w:rPr>
          <w:rFonts w:hint="eastAsia" w:ascii="Times New Roman" w:hAnsi="Times New Roman" w:cs="Times New Roman"/>
          <w:lang w:val="en-US" w:eastAsia="zh-CN"/>
        </w:rPr>
        <w:t>凤县</w:t>
      </w:r>
      <w:r>
        <w:rPr>
          <w:rFonts w:hint="eastAsia" w:ascii="Times New Roman" w:hAnsi="Times New Roman" w:cs="Times New Roman"/>
        </w:rPr>
        <w:t>与</w:t>
      </w:r>
      <w:r>
        <w:rPr>
          <w:rFonts w:hint="eastAsia" w:ascii="Times New Roman" w:hAnsi="Times New Roman" w:cs="Times New Roman"/>
          <w:lang w:val="en-US" w:eastAsia="zh-CN"/>
        </w:rPr>
        <w:t>宝鸡市</w:t>
      </w:r>
      <w:r>
        <w:rPr>
          <w:rFonts w:hint="eastAsia" w:ascii="Times New Roman" w:hAnsi="Times New Roman" w:cs="Times New Roman"/>
        </w:rPr>
        <w:t>的交通要道</w:t>
      </w:r>
      <w:r>
        <w:rPr>
          <w:rFonts w:hint="eastAsia" w:ascii="Times New Roman" w:hAnsi="Times New Roman" w:cs="Times New Roman"/>
          <w:lang w:eastAsia="zh-CN"/>
        </w:rPr>
        <w:t>；县道</w:t>
      </w:r>
      <w:r>
        <w:rPr>
          <w:rFonts w:hint="eastAsia" w:ascii="Times New Roman" w:hAnsi="Times New Roman" w:cs="Times New Roman"/>
        </w:rPr>
        <w:t>红唐双公路</w:t>
      </w:r>
      <w:r>
        <w:rPr>
          <w:rFonts w:hint="eastAsia" w:ascii="Times New Roman" w:hAnsi="Times New Roman" w:cs="Times New Roman"/>
          <w:lang w:val="en-US" w:eastAsia="zh-CN"/>
        </w:rPr>
        <w:t>向西可至国家4A级旅游景区</w:t>
      </w:r>
      <w:r>
        <w:rPr>
          <w:rFonts w:hint="eastAsia" w:ascii="Times New Roman" w:hAnsi="Times New Roman" w:cs="Times New Roman"/>
          <w:lang w:eastAsia="zh-CN"/>
        </w:rPr>
        <w:t>通</w:t>
      </w:r>
      <w:r>
        <w:rPr>
          <w:rFonts w:hint="eastAsia" w:ascii="Times New Roman" w:hAnsi="Times New Roman" w:cs="Times New Roman"/>
        </w:rPr>
        <w:t>天河国家森林公园，在镇</w:t>
      </w:r>
      <w:r>
        <w:rPr>
          <w:rFonts w:hint="eastAsia" w:ascii="Times New Roman" w:hAnsi="Times New Roman" w:cs="Times New Roman"/>
          <w:lang w:eastAsia="zh-CN"/>
        </w:rPr>
        <w:t>区</w:t>
      </w:r>
      <w:r>
        <w:rPr>
          <w:rFonts w:hint="eastAsia" w:ascii="Times New Roman" w:hAnsi="Times New Roman" w:cs="Times New Roman"/>
        </w:rPr>
        <w:t>与</w:t>
      </w:r>
      <w:r>
        <w:rPr>
          <w:rFonts w:hint="eastAsia" w:ascii="Times New Roman" w:hAnsi="Times New Roman" w:cs="Times New Roman"/>
          <w:lang w:val="en-US" w:eastAsia="zh-CN"/>
        </w:rPr>
        <w:t>S219</w:t>
      </w:r>
      <w:r>
        <w:rPr>
          <w:rFonts w:hint="eastAsia" w:ascii="Times New Roman" w:hAnsi="Times New Roman" w:cs="Times New Roman"/>
        </w:rPr>
        <w:t>相接</w:t>
      </w:r>
      <w:r>
        <w:rPr>
          <w:rFonts w:hint="eastAsia" w:ascii="Times New Roman" w:hAnsi="Times New Roman" w:cs="Times New Roman"/>
          <w:lang w:eastAsia="zh-CN"/>
        </w:rPr>
        <w:t>，对外交通便利。</w:t>
      </w:r>
    </w:p>
    <w:p w14:paraId="6593377F">
      <w:pPr>
        <w:ind w:firstLine="602"/>
      </w:pPr>
      <w:r>
        <w:rPr>
          <w:rFonts w:hint="eastAsia" w:ascii="Times New Roman" w:hAnsi="Times New Roman" w:cs="Times New Roman"/>
          <w:b/>
          <w:bCs/>
          <w:szCs w:val="30"/>
        </w:rPr>
        <w:t>生态本底良好，气候环境宜居。</w:t>
      </w:r>
      <w:r>
        <w:rPr>
          <w:rFonts w:hint="eastAsia" w:ascii="Times New Roman" w:hAnsi="Times New Roman" w:cs="Times New Roman"/>
          <w:lang w:eastAsia="zh-CN"/>
        </w:rPr>
        <w:t>红花铺</w:t>
      </w:r>
      <w:r>
        <w:rPr>
          <w:rFonts w:hint="eastAsia" w:ascii="Times New Roman" w:hAnsi="Times New Roman" w:cs="Times New Roman"/>
        </w:rPr>
        <w:t>镇</w:t>
      </w:r>
      <w:r>
        <w:rPr>
          <w:rFonts w:hint="eastAsia" w:ascii="Times New Roman" w:hAnsi="Times New Roman" w:cs="Times New Roman"/>
          <w:szCs w:val="30"/>
        </w:rPr>
        <w:t>地处秦岭南麓腹地中低山区，地势东高西低，主要地形为秦岭褶皱带</w:t>
      </w:r>
      <w:r>
        <w:rPr>
          <w:rFonts w:hint="eastAsia" w:ascii="Times New Roman" w:hAnsi="Times New Roman" w:cs="Times New Roman"/>
          <w:szCs w:val="30"/>
          <w:lang w:eastAsia="zh-CN"/>
        </w:rPr>
        <w:t>。</w:t>
      </w:r>
      <w:r>
        <w:rPr>
          <w:rFonts w:hint="eastAsia" w:ascii="Times New Roman" w:hAnsi="Times New Roman" w:cs="Times New Roman"/>
          <w:szCs w:val="30"/>
        </w:rPr>
        <w:t>境内</w:t>
      </w:r>
      <w:r>
        <w:rPr>
          <w:rFonts w:hint="eastAsia" w:ascii="Times New Roman" w:hAnsi="Times New Roman" w:cs="Times New Roman"/>
          <w:szCs w:val="30"/>
          <w:lang w:val="en-US" w:eastAsia="zh-CN"/>
        </w:rPr>
        <w:t>河流</w:t>
      </w:r>
      <w:r>
        <w:rPr>
          <w:rFonts w:hint="eastAsia" w:ascii="Times New Roman" w:hAnsi="Times New Roman" w:cs="Times New Roman"/>
          <w:szCs w:val="30"/>
        </w:rPr>
        <w:t>水系</w:t>
      </w:r>
      <w:r>
        <w:rPr>
          <w:rFonts w:hint="eastAsia" w:ascii="Times New Roman" w:hAnsi="Times New Roman" w:cs="Times New Roman"/>
          <w:szCs w:val="30"/>
          <w:lang w:val="en-US" w:eastAsia="zh-CN"/>
        </w:rPr>
        <w:t>多为长江流域嘉陵江支流</w:t>
      </w:r>
      <w:r>
        <w:rPr>
          <w:rFonts w:hint="eastAsia" w:ascii="Times New Roman" w:hAnsi="Times New Roman" w:cs="Times New Roman"/>
          <w:szCs w:val="30"/>
        </w:rPr>
        <w:t>，</w:t>
      </w:r>
      <w:r>
        <w:rPr>
          <w:rFonts w:hint="eastAsia" w:ascii="Times New Roman" w:hAnsi="Times New Roman" w:cs="Times New Roman"/>
          <w:szCs w:val="30"/>
          <w:lang w:val="en-US" w:eastAsia="zh-CN"/>
        </w:rPr>
        <w:t>多条支流蔓延红花铺镇，生态本底优越</w:t>
      </w:r>
      <w:r>
        <w:rPr>
          <w:rFonts w:hint="eastAsia" w:ascii="Times New Roman" w:hAnsi="Times New Roman" w:cs="Times New Roman"/>
          <w:szCs w:val="30"/>
        </w:rPr>
        <w:t>。全镇气候属暖温带湿润大陆性季风气候，气候温和湿润，雨量充沛</w:t>
      </w:r>
      <w:r>
        <w:rPr>
          <w:rFonts w:hint="eastAsia" w:ascii="Times New Roman" w:hAnsi="Times New Roman" w:cs="Times New Roman"/>
          <w:szCs w:val="30"/>
          <w:lang w:eastAsia="zh-CN"/>
        </w:rPr>
        <w:t>，</w:t>
      </w:r>
      <w:r>
        <w:rPr>
          <w:rFonts w:hint="eastAsia" w:ascii="Times New Roman" w:hAnsi="Times New Roman" w:cs="Times New Roman"/>
          <w:szCs w:val="30"/>
        </w:rPr>
        <w:t>多年平均气温11.4℃</w:t>
      </w:r>
      <w:r>
        <w:rPr>
          <w:rFonts w:hint="eastAsia" w:ascii="Times New Roman" w:hAnsi="Times New Roman" w:cs="Times New Roman"/>
          <w:szCs w:val="30"/>
          <w:lang w:eastAsia="zh-CN"/>
        </w:rPr>
        <w:t>，</w:t>
      </w:r>
      <w:r>
        <w:rPr>
          <w:rFonts w:hint="eastAsia" w:ascii="Times New Roman" w:hAnsi="Times New Roman" w:cs="Times New Roman"/>
          <w:szCs w:val="30"/>
        </w:rPr>
        <w:t>森林覆盖率8</w:t>
      </w:r>
      <w:r>
        <w:rPr>
          <w:rFonts w:hint="eastAsia" w:ascii="Times New Roman" w:hAnsi="Times New Roman" w:cs="Times New Roman"/>
          <w:szCs w:val="30"/>
          <w:lang w:val="en-US" w:eastAsia="zh-CN"/>
        </w:rPr>
        <w:t>1</w:t>
      </w:r>
      <w:r>
        <w:rPr>
          <w:rFonts w:hint="eastAsia" w:ascii="Times New Roman" w:hAnsi="Times New Roman" w:cs="Times New Roman"/>
          <w:szCs w:val="30"/>
        </w:rPr>
        <w:t>%</w:t>
      </w:r>
      <w:r>
        <w:rPr>
          <w:rFonts w:hint="eastAsia" w:ascii="Times New Roman" w:hAnsi="Times New Roman" w:cs="Times New Roman"/>
          <w:szCs w:val="30"/>
          <w:lang w:eastAsia="zh-CN"/>
        </w:rPr>
        <w:t>，平均海拔1100米，</w:t>
      </w:r>
      <w:r>
        <w:rPr>
          <w:rFonts w:hint="eastAsia" w:ascii="Times New Roman" w:hAnsi="Times New Roman" w:cs="Times New Roman"/>
          <w:szCs w:val="30"/>
          <w:lang w:val="en-US" w:eastAsia="zh-CN"/>
        </w:rPr>
        <w:t>区域内山体众多，高差起伏相对较大，</w:t>
      </w:r>
      <w:r>
        <w:rPr>
          <w:rFonts w:hint="eastAsia" w:ascii="Times New Roman" w:hAnsi="Times New Roman" w:cs="Times New Roman"/>
          <w:szCs w:val="30"/>
          <w:lang w:eastAsia="zh-CN"/>
        </w:rPr>
        <w:t>负氧离子丰富，</w:t>
      </w:r>
      <w:r>
        <w:rPr>
          <w:rFonts w:hint="eastAsia" w:ascii="Times New Roman" w:hAnsi="Times New Roman" w:cs="Times New Roman"/>
          <w:szCs w:val="30"/>
        </w:rPr>
        <w:t>环境宜人</w:t>
      </w:r>
      <w:r>
        <w:rPr>
          <w:rFonts w:hint="eastAsia" w:ascii="Times New Roman" w:hAnsi="Times New Roman" w:cs="Times New Roman"/>
          <w:szCs w:val="30"/>
          <w:lang w:eastAsia="zh-CN"/>
        </w:rPr>
        <w:t>适</w:t>
      </w:r>
      <w:r>
        <w:rPr>
          <w:rFonts w:hint="eastAsia" w:ascii="Times New Roman" w:hAnsi="Times New Roman" w:cs="Times New Roman"/>
          <w:szCs w:val="30"/>
        </w:rPr>
        <w:t>居。</w:t>
      </w:r>
    </w:p>
    <w:p w14:paraId="1AB190AD">
      <w:pPr>
        <w:ind w:firstLine="602"/>
        <w:rPr>
          <w:rFonts w:hint="default" w:ascii="Times New Roman" w:hAnsi="Times New Roman" w:eastAsia="仿宋_GB2312" w:cs="Times New Roman"/>
          <w:lang w:val="en-US" w:eastAsia="zh-CN"/>
        </w:rPr>
      </w:pPr>
      <w:r>
        <w:rPr>
          <w:rFonts w:hint="default" w:ascii="Times New Roman" w:hAnsi="Times New Roman" w:cs="Times New Roman"/>
          <w:b/>
          <w:bCs/>
        </w:rPr>
        <w:t>矿产种类繁多，</w:t>
      </w:r>
      <w:r>
        <w:rPr>
          <w:rFonts w:hint="default" w:ascii="Times New Roman" w:hAnsi="Times New Roman" w:cs="Times New Roman"/>
          <w:b/>
          <w:bCs/>
          <w:lang w:eastAsia="zh-CN"/>
        </w:rPr>
        <w:t>文化资源丰富</w:t>
      </w:r>
      <w:r>
        <w:rPr>
          <w:rFonts w:hint="default" w:ascii="Times New Roman" w:hAnsi="Times New Roman" w:cs="Times New Roman"/>
          <w:b/>
          <w:bCs/>
        </w:rPr>
        <w:t>。</w:t>
      </w:r>
      <w:r>
        <w:rPr>
          <w:rFonts w:hint="default" w:ascii="Times New Roman" w:hAnsi="Times New Roman" w:cs="Times New Roman"/>
          <w:lang w:eastAsia="zh-CN"/>
        </w:rPr>
        <w:t>红花铺</w:t>
      </w:r>
      <w:r>
        <w:rPr>
          <w:rFonts w:hint="default" w:ascii="Times New Roman" w:hAnsi="Times New Roman" w:cs="Times New Roman"/>
        </w:rPr>
        <w:t>镇已发现各类矿石20多种，现已探</w:t>
      </w:r>
      <w:r>
        <w:rPr>
          <w:rFonts w:hint="default" w:ascii="Times New Roman" w:hAnsi="Times New Roman" w:cs="Times New Roman"/>
          <w:szCs w:val="30"/>
        </w:rPr>
        <w:t>明有</w:t>
      </w:r>
      <w:r>
        <w:rPr>
          <w:rFonts w:hint="eastAsia" w:ascii="Times New Roman" w:hAnsi="Times New Roman" w:cs="Times New Roman"/>
          <w:szCs w:val="30"/>
          <w:lang w:eastAsia="zh-CN"/>
        </w:rPr>
        <w:t>铅锌、钾长石</w:t>
      </w:r>
      <w:r>
        <w:rPr>
          <w:rFonts w:hint="default" w:ascii="Times New Roman" w:hAnsi="Times New Roman" w:cs="Times New Roman"/>
          <w:szCs w:val="30"/>
        </w:rPr>
        <w:t>等10余种，</w:t>
      </w:r>
      <w:r>
        <w:rPr>
          <w:rFonts w:hint="default" w:ascii="Times New Roman" w:hAnsi="Times New Roman" w:cs="Times New Roman"/>
          <w:lang w:val="en-US" w:eastAsia="zh-CN"/>
        </w:rPr>
        <w:t>地下矿产资源丰富，种类繁多</w:t>
      </w:r>
      <w:r>
        <w:rPr>
          <w:rFonts w:hint="default" w:ascii="Times New Roman" w:hAnsi="Times New Roman" w:cs="Times New Roman"/>
        </w:rPr>
        <w:t>。</w:t>
      </w:r>
      <w:r>
        <w:rPr>
          <w:rFonts w:hint="default" w:ascii="Times New Roman" w:hAnsi="Times New Roman" w:cs="Times New Roman"/>
          <w:lang w:eastAsia="zh-CN"/>
        </w:rPr>
        <w:t>全</w:t>
      </w:r>
      <w:r>
        <w:rPr>
          <w:rFonts w:hint="default" w:ascii="Times New Roman" w:hAnsi="Times New Roman" w:cs="Times New Roman"/>
          <w:lang w:val="en-US" w:eastAsia="zh-CN"/>
        </w:rPr>
        <w:t>镇涉及</w:t>
      </w:r>
      <w:r>
        <w:rPr>
          <w:rFonts w:hint="default" w:ascii="Times New Roman" w:hAnsi="Times New Roman" w:cs="Times New Roman"/>
          <w:lang w:eastAsia="zh-CN"/>
        </w:rPr>
        <w:t>省级文物保护单位1处，</w:t>
      </w:r>
      <w:r>
        <w:rPr>
          <w:rFonts w:hint="default" w:ascii="Times New Roman" w:hAnsi="Times New Roman" w:cs="Times New Roman"/>
          <w:lang w:val="en-US" w:eastAsia="zh-CN"/>
        </w:rPr>
        <w:t>为天台寺关帝殿；</w:t>
      </w:r>
      <w:r>
        <w:rPr>
          <w:rFonts w:hint="default" w:ascii="Times New Roman" w:hAnsi="Times New Roman" w:cs="Times New Roman"/>
          <w:lang w:eastAsia="zh-CN"/>
        </w:rPr>
        <w:t>县级文保单位</w:t>
      </w:r>
      <w:r>
        <w:rPr>
          <w:rFonts w:hint="default" w:ascii="Times New Roman" w:hAnsi="Times New Roman" w:cs="Times New Roman"/>
          <w:lang w:val="en-US" w:eastAsia="zh-CN"/>
        </w:rPr>
        <w:t>5处，为孙永生烈士墓、五里庙石塔、杨家老宅、永红遗址、长桥栈道遗址；古树名木3处；</w:t>
      </w:r>
      <w:r>
        <w:rPr>
          <w:rFonts w:hint="default" w:ascii="Times New Roman" w:hAnsi="Times New Roman" w:cs="Times New Roman"/>
          <w:lang w:eastAsia="zh-CN"/>
        </w:rPr>
        <w:t>非物质文化遗产名录</w:t>
      </w:r>
      <w:r>
        <w:rPr>
          <w:rFonts w:hint="default" w:ascii="Times New Roman" w:hAnsi="Times New Roman" w:cs="Times New Roman"/>
          <w:lang w:val="en-US" w:eastAsia="zh-CN"/>
        </w:rPr>
        <w:t>1个，为</w:t>
      </w:r>
      <w:r>
        <w:rPr>
          <w:rFonts w:hint="default" w:ascii="Times New Roman" w:hAnsi="Times New Roman" w:cs="Times New Roman"/>
          <w:lang w:eastAsia="zh-CN"/>
        </w:rPr>
        <w:t>传统技艺</w:t>
      </w:r>
      <w:r>
        <w:rPr>
          <w:rFonts w:hint="default" w:ascii="Times New Roman" w:hAnsi="Times New Roman" w:cs="Times New Roman"/>
        </w:rPr>
        <w:t>红花铺制香工艺</w:t>
      </w:r>
      <w:r>
        <w:rPr>
          <w:rFonts w:hint="default" w:ascii="Times New Roman" w:hAnsi="Times New Roman" w:cs="Times New Roman"/>
          <w:lang w:eastAsia="zh-CN"/>
        </w:rPr>
        <w:t>；全域</w:t>
      </w:r>
      <w:r>
        <w:rPr>
          <w:rFonts w:hint="default" w:ascii="Times New Roman" w:hAnsi="Times New Roman" w:cs="Times New Roman"/>
          <w:lang w:val="en-US" w:eastAsia="zh-CN"/>
        </w:rPr>
        <w:t>留有长桥古栈、黄花县、草</w:t>
      </w:r>
      <w:r>
        <w:rPr>
          <w:rFonts w:hint="eastAsia" w:ascii="Times New Roman" w:hAnsi="Times New Roman" w:cs="Times New Roman"/>
          <w:lang w:val="en-US" w:eastAsia="zh-CN"/>
        </w:rPr>
        <w:t>凉</w:t>
      </w:r>
      <w:r>
        <w:rPr>
          <w:rFonts w:hint="default" w:ascii="Times New Roman" w:hAnsi="Times New Roman" w:cs="Times New Roman"/>
          <w:lang w:val="en-US" w:eastAsia="zh-CN"/>
        </w:rPr>
        <w:t>楼等历史典故，人文资源开发潜力巨大。</w:t>
      </w:r>
    </w:p>
    <w:p w14:paraId="5E845740">
      <w:pPr>
        <w:pStyle w:val="4"/>
        <w:spacing w:before="204" w:after="81"/>
        <w:ind w:firstLine="0" w:firstLineChars="0"/>
      </w:pPr>
      <w:bookmarkStart w:id="20" w:name="_Toc27745"/>
      <w:bookmarkStart w:id="21" w:name="_Toc23955"/>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开发保护现状</w:t>
      </w:r>
      <w:bookmarkEnd w:id="20"/>
      <w:bookmarkEnd w:id="21"/>
    </w:p>
    <w:p w14:paraId="679F89C5">
      <w:pPr>
        <w:pStyle w:val="2"/>
        <w:spacing w:afterLines="0" w:line="600" w:lineRule="exact"/>
        <w:ind w:firstLine="602"/>
        <w:rPr>
          <w:rFonts w:hint="default" w:eastAsia="仿宋_GB2312" w:cs="Times New Roman"/>
          <w:sz w:val="30"/>
          <w:szCs w:val="22"/>
          <w:lang w:val="en-US" w:eastAsia="zh-CN"/>
        </w:rPr>
      </w:pPr>
      <w:r>
        <w:rPr>
          <w:rFonts w:hint="eastAsia" w:eastAsia="仿宋_GB2312" w:cs="Times New Roman"/>
          <w:b/>
          <w:bCs/>
          <w:sz w:val="30"/>
          <w:szCs w:val="22"/>
          <w:lang w:eastAsia="zh-CN"/>
        </w:rPr>
        <w:t>土地利用中农用地面积占比最大</w:t>
      </w:r>
      <w:r>
        <w:rPr>
          <w:rFonts w:eastAsia="仿宋_GB2312" w:cs="Times New Roman"/>
          <w:b/>
          <w:bCs/>
          <w:sz w:val="30"/>
          <w:szCs w:val="22"/>
        </w:rPr>
        <w:t>，</w:t>
      </w:r>
      <w:r>
        <w:rPr>
          <w:rFonts w:hint="eastAsia" w:eastAsia="仿宋_GB2312" w:cs="Times New Roman"/>
          <w:b/>
          <w:bCs/>
          <w:sz w:val="30"/>
          <w:szCs w:val="22"/>
          <w:lang w:eastAsia="zh-CN"/>
        </w:rPr>
        <w:t>建设用地占比较小</w:t>
      </w:r>
      <w:r>
        <w:rPr>
          <w:rFonts w:eastAsia="仿宋_GB2312" w:cs="Times New Roman"/>
          <w:sz w:val="30"/>
          <w:szCs w:val="22"/>
        </w:rPr>
        <w:t>。</w:t>
      </w:r>
      <w:r>
        <w:rPr>
          <w:rFonts w:hint="eastAsia" w:eastAsia="仿宋_GB2312" w:cs="Times New Roman"/>
          <w:sz w:val="30"/>
          <w:szCs w:val="22"/>
          <w:lang w:eastAsia="zh-CN"/>
        </w:rPr>
        <w:t>根据</w:t>
      </w:r>
      <w:r>
        <w:rPr>
          <w:rFonts w:eastAsia="仿宋_GB2312" w:cs="Times New Roman"/>
          <w:sz w:val="30"/>
          <w:szCs w:val="22"/>
        </w:rPr>
        <w:t>2020年</w:t>
      </w:r>
      <w:r>
        <w:rPr>
          <w:rFonts w:hint="eastAsia" w:eastAsia="仿宋_GB2312" w:cs="Times New Roman"/>
          <w:sz w:val="30"/>
          <w:szCs w:val="22"/>
          <w:lang w:eastAsia="zh-CN"/>
        </w:rPr>
        <w:t>国土变更调查数据，红花铺镇农用地面积</w:t>
      </w:r>
      <w:r>
        <w:rPr>
          <w:rFonts w:hint="eastAsia" w:eastAsia="仿宋_GB2312" w:cs="Times New Roman"/>
          <w:sz w:val="30"/>
          <w:szCs w:val="22"/>
          <w:lang w:val="en-US" w:eastAsia="zh-CN"/>
        </w:rPr>
        <w:t>22647.94公顷</w:t>
      </w:r>
      <w:r>
        <w:rPr>
          <w:rFonts w:hint="eastAsia" w:eastAsia="仿宋_GB2312" w:cs="Times New Roman"/>
          <w:sz w:val="30"/>
          <w:szCs w:val="22"/>
          <w:lang w:eastAsia="zh-CN"/>
        </w:rPr>
        <w:t>，</w:t>
      </w:r>
      <w:r>
        <w:rPr>
          <w:rFonts w:hint="eastAsia" w:eastAsia="仿宋_GB2312" w:cs="Times New Roman"/>
          <w:sz w:val="30"/>
          <w:szCs w:val="22"/>
          <w:lang w:val="en-US" w:eastAsia="zh-CN"/>
        </w:rPr>
        <w:t>占</w:t>
      </w:r>
      <w:r>
        <w:rPr>
          <w:rFonts w:hint="eastAsia" w:eastAsia="仿宋_GB2312" w:cs="Times New Roman"/>
          <w:sz w:val="30"/>
          <w:szCs w:val="22"/>
        </w:rPr>
        <w:t>镇域总面积的</w:t>
      </w:r>
      <w:r>
        <w:rPr>
          <w:rFonts w:hint="eastAsia" w:eastAsia="仿宋_GB2312" w:cs="Times New Roman"/>
          <w:sz w:val="30"/>
          <w:szCs w:val="22"/>
          <w:lang w:val="en-US" w:eastAsia="zh-CN"/>
        </w:rPr>
        <w:t>98.07%，其中：林地面积占比最大，为21696.21公顷，占</w:t>
      </w:r>
      <w:r>
        <w:rPr>
          <w:rFonts w:hint="eastAsia" w:eastAsia="仿宋_GB2312" w:cs="Times New Roman"/>
          <w:sz w:val="30"/>
          <w:szCs w:val="22"/>
        </w:rPr>
        <w:t>镇域总面积的</w:t>
      </w:r>
      <w:r>
        <w:rPr>
          <w:rFonts w:hint="eastAsia" w:eastAsia="仿宋_GB2312" w:cs="Times New Roman"/>
          <w:sz w:val="30"/>
          <w:szCs w:val="22"/>
          <w:lang w:val="en-US" w:eastAsia="zh-CN"/>
        </w:rPr>
        <w:t>94.88%；其次是</w:t>
      </w:r>
      <w:r>
        <w:rPr>
          <w:rFonts w:hint="eastAsia" w:eastAsia="仿宋_GB2312" w:cs="Times New Roman"/>
          <w:sz w:val="30"/>
          <w:szCs w:val="22"/>
        </w:rPr>
        <w:t>园地和耕地</w:t>
      </w:r>
      <w:r>
        <w:rPr>
          <w:rFonts w:hint="eastAsia" w:eastAsia="仿宋_GB2312" w:cs="Times New Roman"/>
          <w:sz w:val="30"/>
          <w:szCs w:val="22"/>
          <w:lang w:eastAsia="zh-CN"/>
        </w:rPr>
        <w:t>，</w:t>
      </w:r>
      <w:r>
        <w:rPr>
          <w:rFonts w:hint="eastAsia" w:eastAsia="仿宋_GB2312" w:cs="Times New Roman"/>
          <w:sz w:val="30"/>
          <w:szCs w:val="22"/>
        </w:rPr>
        <w:t>面积分别为625.32</w:t>
      </w:r>
      <w:r>
        <w:rPr>
          <w:rFonts w:hint="eastAsia" w:eastAsia="仿宋_GB2312" w:cs="Times New Roman"/>
          <w:sz w:val="30"/>
          <w:szCs w:val="22"/>
          <w:lang w:eastAsia="zh-CN"/>
        </w:rPr>
        <w:t>公顷和187.53，</w:t>
      </w:r>
      <w:r>
        <w:rPr>
          <w:rFonts w:hint="eastAsia" w:eastAsia="仿宋_GB2312" w:cs="Times New Roman"/>
          <w:sz w:val="30"/>
          <w:szCs w:val="22"/>
        </w:rPr>
        <w:t>占比</w:t>
      </w:r>
      <w:r>
        <w:rPr>
          <w:rFonts w:hint="eastAsia" w:eastAsia="仿宋_GB2312" w:cs="Times New Roman"/>
          <w:sz w:val="30"/>
          <w:szCs w:val="22"/>
          <w:lang w:val="en-US" w:eastAsia="zh-CN"/>
        </w:rPr>
        <w:t>2.71</w:t>
      </w:r>
      <w:r>
        <w:rPr>
          <w:rFonts w:hint="eastAsia" w:eastAsia="仿宋_GB2312" w:cs="Times New Roman"/>
          <w:sz w:val="30"/>
          <w:szCs w:val="22"/>
        </w:rPr>
        <w:t>%和</w:t>
      </w:r>
      <w:r>
        <w:rPr>
          <w:rFonts w:hint="eastAsia" w:eastAsia="仿宋_GB2312" w:cs="Times New Roman"/>
          <w:sz w:val="30"/>
          <w:szCs w:val="22"/>
          <w:lang w:val="en-US" w:eastAsia="zh-CN"/>
        </w:rPr>
        <w:t>0.81</w:t>
      </w:r>
      <w:r>
        <w:rPr>
          <w:rFonts w:hint="eastAsia" w:eastAsia="仿宋_GB2312" w:cs="Times New Roman"/>
          <w:sz w:val="30"/>
          <w:szCs w:val="22"/>
        </w:rPr>
        <w:t>%</w:t>
      </w:r>
      <w:r>
        <w:rPr>
          <w:rFonts w:hint="eastAsia" w:eastAsia="仿宋_GB2312" w:cs="Times New Roman"/>
          <w:sz w:val="30"/>
          <w:szCs w:val="22"/>
          <w:lang w:eastAsia="zh-CN"/>
        </w:rPr>
        <w:t>。其他土地面积为</w:t>
      </w:r>
      <w:r>
        <w:rPr>
          <w:rFonts w:hint="eastAsia" w:eastAsia="仿宋_GB2312" w:cs="Times New Roman"/>
          <w:sz w:val="30"/>
          <w:szCs w:val="22"/>
          <w:lang w:val="en-US" w:eastAsia="zh-CN"/>
        </w:rPr>
        <w:t>244.11公顷，占</w:t>
      </w:r>
      <w:r>
        <w:rPr>
          <w:rFonts w:hint="eastAsia" w:eastAsia="仿宋_GB2312" w:cs="Times New Roman"/>
          <w:sz w:val="30"/>
          <w:szCs w:val="22"/>
        </w:rPr>
        <w:t>镇域总面积的</w:t>
      </w:r>
      <w:r>
        <w:rPr>
          <w:rFonts w:hint="eastAsia" w:eastAsia="仿宋_GB2312" w:cs="Times New Roman"/>
          <w:sz w:val="30"/>
          <w:szCs w:val="22"/>
          <w:lang w:val="en-US" w:eastAsia="zh-CN"/>
        </w:rPr>
        <w:t>1.05%。建设用地占比最小，面积201.11公顷，占</w:t>
      </w:r>
      <w:r>
        <w:rPr>
          <w:rFonts w:hint="eastAsia" w:eastAsia="仿宋_GB2312" w:cs="Times New Roman"/>
          <w:sz w:val="30"/>
          <w:szCs w:val="22"/>
        </w:rPr>
        <w:t>镇域总面积的</w:t>
      </w:r>
      <w:r>
        <w:rPr>
          <w:rFonts w:hint="eastAsia" w:eastAsia="仿宋_GB2312" w:cs="Times New Roman"/>
          <w:sz w:val="30"/>
          <w:szCs w:val="22"/>
          <w:lang w:val="en-US" w:eastAsia="zh-CN"/>
        </w:rPr>
        <w:t>0.88%。</w:t>
      </w:r>
    </w:p>
    <w:p w14:paraId="0AA92CB8">
      <w:pPr>
        <w:pStyle w:val="2"/>
        <w:spacing w:afterLines="0" w:line="600" w:lineRule="exact"/>
        <w:ind w:firstLine="602"/>
        <w:rPr>
          <w:rFonts w:eastAsia="仿宋_GB2312" w:cs="Times New Roman"/>
          <w:color w:val="0D0D0D" w:themeColor="text1" w:themeTint="F2"/>
          <w:sz w:val="30"/>
          <w:szCs w:val="22"/>
          <w14:textFill>
            <w14:solidFill>
              <w14:schemeClr w14:val="tx1">
                <w14:lumMod w14:val="95000"/>
                <w14:lumOff w14:val="5000"/>
              </w14:schemeClr>
            </w14:solidFill>
          </w14:textFill>
        </w:rPr>
      </w:pPr>
      <w:r>
        <w:rPr>
          <w:rFonts w:hint="eastAsia" w:eastAsia="仿宋_GB2312" w:cs="Times New Roman"/>
          <w:b/>
          <w:bCs/>
          <w:sz w:val="30"/>
          <w:szCs w:val="22"/>
        </w:rPr>
        <w:t>农业</w:t>
      </w:r>
      <w:r>
        <w:rPr>
          <w:rFonts w:hint="eastAsia" w:eastAsia="仿宋_GB2312" w:cs="Times New Roman"/>
          <w:b/>
          <w:bCs/>
          <w:sz w:val="30"/>
          <w:szCs w:val="22"/>
          <w:lang w:eastAsia="zh-CN"/>
        </w:rPr>
        <w:t>发展良好</w:t>
      </w:r>
      <w:r>
        <w:rPr>
          <w:rFonts w:eastAsia="仿宋_GB2312" w:cs="Times New Roman"/>
          <w:b/>
          <w:bCs/>
          <w:sz w:val="30"/>
          <w:szCs w:val="22"/>
        </w:rPr>
        <w:t>，</w:t>
      </w:r>
      <w:r>
        <w:rPr>
          <w:rFonts w:hint="eastAsia" w:eastAsia="仿宋_GB2312" w:cs="Times New Roman"/>
          <w:b/>
          <w:bCs/>
          <w:sz w:val="30"/>
          <w:szCs w:val="22"/>
          <w:lang w:eastAsia="zh-CN"/>
        </w:rPr>
        <w:t>产业特色鲜明</w:t>
      </w:r>
      <w:r>
        <w:rPr>
          <w:rFonts w:eastAsia="仿宋_GB2312" w:cs="Times New Roman"/>
          <w:sz w:val="30"/>
          <w:szCs w:val="22"/>
        </w:rPr>
        <w:t>。</w:t>
      </w:r>
      <w:r>
        <w:rPr>
          <w:rFonts w:hint="eastAsia" w:eastAsia="仿宋_GB2312" w:cs="Times New Roman"/>
          <w:sz w:val="30"/>
          <w:szCs w:val="22"/>
          <w:lang w:eastAsia="zh-CN"/>
        </w:rPr>
        <w:t>红花铺镇推进“1+N”的产业发展思路，以食用菌种植为主导产业，以林麝养殖、中蜂养殖，中药材和花椒种植为辅助产业。</w:t>
      </w:r>
      <w:r>
        <w:rPr>
          <w:rFonts w:hint="eastAsia" w:eastAsia="仿宋_GB2312" w:cs="Times New Roman"/>
          <w:sz w:val="30"/>
          <w:szCs w:val="22"/>
          <w:lang w:val="en-US" w:eastAsia="zh-CN"/>
        </w:rPr>
        <w:t>截至2020年底</w:t>
      </w:r>
      <w:r>
        <w:rPr>
          <w:rFonts w:hint="eastAsia" w:eastAsia="仿宋_GB2312" w:cs="Times New Roman"/>
          <w:sz w:val="30"/>
          <w:szCs w:val="22"/>
          <w:lang w:eastAsia="zh-CN"/>
        </w:rPr>
        <w:t>，全镇建成“一芯四园全链条”的食用菌产业格局（红花铺村“高山菌部落产业园”为“一芯”，永生村赤松茸、红花铺村香菇、草凉驿村羊肚菌、白家店村花菇“四园”建设），已建成“高山珍菌”食用菌大棚261座，年生产羊肚菌、赤松茸、香菇达210吨。全镇打造“一村一品一龙头”的产业布局，永生村凭借“岭南长寿街”景区，推广福寿文化，大力发展农家田园体验游、避暑度假游、美丽乡村观光游等特色乡村旅游；红花铺村建成高山珍菌产业示范园；草凉驿村发展林麝养殖，凤县农旅融合红花铺林麝产业示范园建成运营，全镇林麝存栏达1080头；白家店村流转土地发展秦岭花菇产业基地，已建设生产用房5间，新建花菇栽培大棚74座。</w:t>
      </w:r>
    </w:p>
    <w:p w14:paraId="509DC654">
      <w:pPr>
        <w:pStyle w:val="2"/>
        <w:spacing w:afterLines="0" w:line="600" w:lineRule="exact"/>
        <w:ind w:firstLine="602"/>
        <w:rPr>
          <w:rFonts w:hint="eastAsia" w:eastAsia="仿宋_GB2312" w:cs="Times New Roman"/>
          <w:sz w:val="30"/>
          <w:szCs w:val="22"/>
          <w:lang w:eastAsia="zh-CN"/>
        </w:rPr>
      </w:pPr>
      <w:r>
        <w:rPr>
          <w:rFonts w:hint="eastAsia" w:eastAsia="仿宋_GB2312" w:cs="Times New Roman"/>
          <w:b/>
          <w:bCs/>
          <w:color w:val="0D0D0D" w:themeColor="text1" w:themeTint="F2"/>
          <w:sz w:val="30"/>
          <w:szCs w:val="22"/>
          <w14:textFill>
            <w14:solidFill>
              <w14:schemeClr w14:val="tx1">
                <w14:lumMod w14:val="95000"/>
                <w14:lumOff w14:val="5000"/>
              </w14:schemeClr>
            </w14:solidFill>
          </w14:textFill>
        </w:rPr>
        <w:t>生态环境质</w:t>
      </w:r>
      <w:r>
        <w:rPr>
          <w:rFonts w:hint="eastAsia" w:eastAsia="仿宋_GB2312" w:cs="Times New Roman"/>
          <w:b/>
          <w:bCs/>
          <w:sz w:val="30"/>
          <w:szCs w:val="22"/>
        </w:rPr>
        <w:t>量持续改善</w:t>
      </w:r>
      <w:r>
        <w:rPr>
          <w:rFonts w:eastAsia="仿宋_GB2312" w:cs="Times New Roman"/>
          <w:b/>
          <w:bCs/>
          <w:sz w:val="30"/>
          <w:szCs w:val="22"/>
        </w:rPr>
        <w:t>，</w:t>
      </w:r>
      <w:r>
        <w:rPr>
          <w:rFonts w:hint="eastAsia" w:eastAsia="仿宋_GB2312" w:cs="Times New Roman"/>
          <w:b/>
          <w:bCs/>
          <w:sz w:val="30"/>
          <w:szCs w:val="22"/>
        </w:rPr>
        <w:t>人居环境水平不断提高</w:t>
      </w:r>
      <w:r>
        <w:rPr>
          <w:rFonts w:eastAsia="仿宋_GB2312" w:cs="Times New Roman"/>
          <w:b/>
          <w:bCs/>
          <w:sz w:val="30"/>
          <w:szCs w:val="22"/>
        </w:rPr>
        <w:t>。</w:t>
      </w:r>
      <w:r>
        <w:rPr>
          <w:rFonts w:hint="eastAsia" w:eastAsia="仿宋_GB2312" w:cs="Times New Roman"/>
          <w:sz w:val="30"/>
          <w:szCs w:val="22"/>
          <w:lang w:eastAsia="zh-CN"/>
        </w:rPr>
        <w:t>红花铺镇</w:t>
      </w:r>
      <w:r>
        <w:rPr>
          <w:rFonts w:hint="eastAsia" w:eastAsia="仿宋_GB2312" w:cs="Times New Roman"/>
          <w:sz w:val="30"/>
          <w:szCs w:val="22"/>
        </w:rPr>
        <w:t>持续深化“林长制</w:t>
      </w:r>
      <w:r>
        <w:rPr>
          <w:rFonts w:hint="eastAsia" w:eastAsia="仿宋_GB2312" w:cs="Times New Roman"/>
          <w:sz w:val="30"/>
          <w:szCs w:val="22"/>
          <w:lang w:eastAsia="zh-CN"/>
        </w:rPr>
        <w:t>”“</w:t>
      </w:r>
      <w:r>
        <w:rPr>
          <w:rFonts w:hint="eastAsia" w:eastAsia="仿宋_GB2312" w:cs="Times New Roman"/>
          <w:sz w:val="30"/>
          <w:szCs w:val="22"/>
        </w:rPr>
        <w:t>河长制”</w:t>
      </w:r>
      <w:r>
        <w:rPr>
          <w:rFonts w:hint="eastAsia" w:eastAsia="仿宋_GB2312" w:cs="Times New Roman"/>
          <w:sz w:val="30"/>
          <w:szCs w:val="22"/>
          <w:lang w:eastAsia="zh-CN"/>
        </w:rPr>
        <w:t>，常态化开展护林防火、秦岭生态保护、河道五乱治理等，持续推进国土增绿、森林提质和资源保护等工作。</w:t>
      </w:r>
      <w:r>
        <w:rPr>
          <w:rFonts w:hint="eastAsia" w:eastAsia="仿宋_GB2312" w:cs="Times New Roman"/>
          <w:sz w:val="30"/>
          <w:szCs w:val="22"/>
          <w:lang w:val="en-US" w:eastAsia="zh-CN"/>
        </w:rPr>
        <w:t>2020年，红花铺镇</w:t>
      </w:r>
      <w:r>
        <w:rPr>
          <w:rFonts w:hint="eastAsia" w:eastAsia="仿宋_GB2312" w:cs="Times New Roman"/>
          <w:sz w:val="30"/>
          <w:szCs w:val="22"/>
          <w:lang w:eastAsia="zh-CN"/>
        </w:rPr>
        <w:t>种植百日草、万寿菊等花卉种子共计110余公斤，栽植白皮松等450棵，镇区内生态环保治理成效显著。红花铺镇以打造生态宜居美丽小镇为方向，实施生活垃圾规范化处置、背街小巷面貌改善，环卫设施改善、菜园子和柴摞子、旱厕整治清零等项目，人居环境整体水平在不断提高。</w:t>
      </w:r>
    </w:p>
    <w:p w14:paraId="1C8A5742">
      <w:pPr>
        <w:pStyle w:val="4"/>
        <w:spacing w:before="204" w:after="81"/>
        <w:ind w:firstLine="0" w:firstLineChars="0"/>
      </w:pPr>
      <w:bookmarkStart w:id="22" w:name="_Toc19138"/>
      <w:bookmarkStart w:id="23" w:name="_Toc23225"/>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节  </w:t>
      </w:r>
      <w:r>
        <w:rPr>
          <w:rFonts w:hint="eastAsia" w:ascii="Times New Roman" w:hAnsi="Times New Roman" w:cs="Times New Roman"/>
        </w:rPr>
        <w:t>存在问题</w:t>
      </w:r>
      <w:bookmarkEnd w:id="22"/>
      <w:bookmarkEnd w:id="23"/>
    </w:p>
    <w:p w14:paraId="6C10F8BA">
      <w:pPr>
        <w:ind w:firstLine="602"/>
        <w:rPr>
          <w:rFonts w:hint="eastAsia" w:ascii="Times New Roman" w:hAnsi="Times New Roman" w:eastAsia="仿宋_GB2312" w:cs="Times New Roman"/>
          <w:highlight w:val="none"/>
          <w:lang w:eastAsia="zh-CN"/>
        </w:rPr>
      </w:pPr>
      <w:r>
        <w:rPr>
          <w:rFonts w:hint="eastAsia" w:ascii="Times New Roman" w:hAnsi="Times New Roman" w:cs="Times New Roman"/>
          <w:b/>
          <w:bCs/>
          <w:highlight w:val="none"/>
          <w:lang w:val="en-US" w:eastAsia="zh-CN"/>
        </w:rPr>
        <w:t>人口基数较小，人口流失严重，建设用地集约度不高</w:t>
      </w:r>
      <w:r>
        <w:rPr>
          <w:rFonts w:ascii="Times New Roman" w:hAnsi="Times New Roman" w:cs="Times New Roman"/>
          <w:highlight w:val="none"/>
        </w:rPr>
        <w:t>。</w:t>
      </w:r>
      <w:r>
        <w:rPr>
          <w:rFonts w:hint="eastAsia" w:ascii="Times New Roman" w:hAnsi="Times New Roman" w:cs="Times New Roman"/>
          <w:highlight w:val="none"/>
          <w:lang w:eastAsia="zh-CN"/>
        </w:rPr>
        <w:t>截至</w:t>
      </w:r>
      <w:r>
        <w:rPr>
          <w:rFonts w:hint="eastAsia" w:ascii="Times New Roman" w:hAnsi="Times New Roman" w:cs="Times New Roman"/>
          <w:highlight w:val="none"/>
          <w:lang w:val="en-US" w:eastAsia="zh-CN"/>
        </w:rPr>
        <w:t>2020年</w:t>
      </w:r>
      <w:r>
        <w:rPr>
          <w:rFonts w:hint="eastAsia" w:ascii="Times New Roman" w:hAnsi="Times New Roman" w:cs="Times New Roman"/>
          <w:highlight w:val="none"/>
          <w:lang w:eastAsia="zh-CN"/>
        </w:rPr>
        <w:t>底，红花铺镇</w:t>
      </w:r>
      <w:r>
        <w:rPr>
          <w:rFonts w:hint="eastAsia" w:ascii="Times New Roman" w:hAnsi="Times New Roman" w:cs="Times New Roman"/>
          <w:highlight w:val="none"/>
          <w:lang w:val="en-US" w:eastAsia="zh-CN"/>
        </w:rPr>
        <w:t>共1100户，</w:t>
      </w:r>
      <w:r>
        <w:rPr>
          <w:rFonts w:hint="eastAsia" w:ascii="Times New Roman" w:hAnsi="Times New Roman" w:cs="Times New Roman"/>
          <w:highlight w:val="none"/>
          <w:lang w:eastAsia="zh-CN"/>
        </w:rPr>
        <w:t>户籍总人口</w:t>
      </w:r>
      <w:r>
        <w:rPr>
          <w:rFonts w:hint="eastAsia" w:ascii="Times New Roman" w:hAnsi="Times New Roman" w:cs="Times New Roman"/>
          <w:highlight w:val="none"/>
          <w:lang w:val="en-US" w:eastAsia="zh-CN"/>
        </w:rPr>
        <w:t>3549人，常住人口2375人，人口总量呈负增长，人口的大量外流；</w:t>
      </w:r>
      <w:r>
        <w:rPr>
          <w:rFonts w:hint="eastAsia"/>
        </w:rPr>
        <w:t>且村内闲置宅基地较多，</w:t>
      </w:r>
      <w:r>
        <w:rPr>
          <w:rFonts w:hint="eastAsia" w:ascii="Times New Roman" w:hAnsi="Times New Roman" w:cs="Times New Roman"/>
          <w:highlight w:val="none"/>
          <w:lang w:val="en-US" w:eastAsia="zh-CN"/>
        </w:rPr>
        <w:t>居民点分布零散，</w:t>
      </w:r>
      <w:r>
        <w:rPr>
          <w:rFonts w:hint="eastAsia" w:ascii="Times New Roman" w:hAnsi="Times New Roman" w:cs="Times New Roman"/>
          <w:highlight w:val="none"/>
        </w:rPr>
        <w:t>农村宅基地布局有待进一步优化</w:t>
      </w:r>
      <w:r>
        <w:rPr>
          <w:rFonts w:hint="eastAsia" w:ascii="Times New Roman" w:hAnsi="Times New Roman" w:cs="Times New Roman"/>
          <w:highlight w:val="none"/>
          <w:lang w:eastAsia="zh-CN"/>
        </w:rPr>
        <w:t>；镇区内</w:t>
      </w:r>
      <w:r>
        <w:rPr>
          <w:rFonts w:hint="eastAsia" w:ascii="Times New Roman" w:hAnsi="Times New Roman" w:cs="Times New Roman"/>
          <w:highlight w:val="none"/>
        </w:rPr>
        <w:t>闲置的门面、厂房、仓库等</w:t>
      </w:r>
      <w:r>
        <w:rPr>
          <w:rFonts w:hint="eastAsia" w:ascii="Times New Roman" w:hAnsi="Times New Roman" w:cs="Times New Roman"/>
          <w:highlight w:val="none"/>
          <w:lang w:eastAsia="zh-CN"/>
        </w:rPr>
        <w:t>建设用地较多，有待盘活再利用。</w:t>
      </w:r>
    </w:p>
    <w:p w14:paraId="1E1B99A5">
      <w:pPr>
        <w:ind w:firstLine="602"/>
        <w:rPr>
          <w:rFonts w:hint="eastAsia" w:ascii="Times New Roman" w:hAnsi="Times New Roman" w:cs="Times New Roman"/>
          <w:b w:val="0"/>
          <w:bCs w:val="0"/>
          <w:highlight w:val="none"/>
          <w:lang w:val="en-US" w:eastAsia="zh-CN"/>
        </w:rPr>
      </w:pPr>
      <w:r>
        <w:rPr>
          <w:rFonts w:hint="eastAsia" w:ascii="Times New Roman" w:hAnsi="Times New Roman" w:cs="Times New Roman"/>
          <w:b/>
          <w:bCs/>
          <w:highlight w:val="none"/>
          <w:lang w:val="en-US" w:eastAsia="zh-CN"/>
        </w:rPr>
        <w:t>产业链有待优化提升，资源优势未充分有效转化。</w:t>
      </w:r>
      <w:r>
        <w:rPr>
          <w:rFonts w:hint="eastAsia" w:ascii="Times New Roman" w:hAnsi="Times New Roman" w:cs="Times New Roman"/>
          <w:b w:val="0"/>
          <w:bCs w:val="0"/>
          <w:highlight w:val="none"/>
          <w:lang w:val="en-US" w:eastAsia="zh-CN"/>
        </w:rPr>
        <w:t>红花铺镇二产规模小基础薄弱，三产资源特色挖潜不足，发展相对滞后，全镇在农副产品加工业培育仍需加强；龙王沟一线的矿产资源潜力较大，有待挖掘；全镇生态资源可持续利用有待加强；农旅、文旅以及生态旅游产业有待激活。</w:t>
      </w:r>
    </w:p>
    <w:p w14:paraId="41D7DE27">
      <w:pPr>
        <w:ind w:firstLine="602"/>
        <w:rPr>
          <w:highlight w:val="none"/>
        </w:rPr>
        <w:sectPr>
          <w:headerReference r:id="rId15" w:type="default"/>
          <w:footerReference r:id="rId16" w:type="default"/>
          <w:pgSz w:w="11906" w:h="16838"/>
          <w:pgMar w:top="1701" w:right="1418" w:bottom="1531" w:left="1701" w:header="1134" w:footer="737" w:gutter="0"/>
          <w:pgNumType w:start="1"/>
          <w:cols w:space="425" w:num="1"/>
          <w:docGrid w:type="lines" w:linePitch="408" w:charSpace="0"/>
        </w:sectPr>
      </w:pPr>
      <w:r>
        <w:rPr>
          <w:rFonts w:hint="eastAsia" w:eastAsia="仿宋_GB2312" w:cs="Times New Roman"/>
          <w:b/>
          <w:bCs/>
          <w:sz w:val="30"/>
          <w:szCs w:val="22"/>
          <w:lang w:eastAsia="zh-CN"/>
        </w:rPr>
        <w:t>基础设施支撑力</w:t>
      </w:r>
      <w:r>
        <w:rPr>
          <w:rFonts w:hint="eastAsia" w:cs="Times New Roman"/>
          <w:b/>
          <w:bCs/>
          <w:sz w:val="30"/>
          <w:szCs w:val="22"/>
          <w:lang w:eastAsia="zh-CN"/>
        </w:rPr>
        <w:t>有待</w:t>
      </w:r>
      <w:r>
        <w:rPr>
          <w:rFonts w:hint="eastAsia" w:eastAsia="仿宋_GB2312" w:cs="Times New Roman"/>
          <w:b/>
          <w:bCs/>
          <w:sz w:val="30"/>
          <w:szCs w:val="22"/>
          <w:lang w:eastAsia="zh-CN"/>
        </w:rPr>
        <w:t>增强</w:t>
      </w:r>
      <w:r>
        <w:rPr>
          <w:rFonts w:eastAsia="仿宋_GB2312" w:cs="Times New Roman"/>
          <w:b/>
          <w:bCs/>
          <w:sz w:val="30"/>
          <w:szCs w:val="22"/>
        </w:rPr>
        <w:t>，</w:t>
      </w:r>
      <w:r>
        <w:rPr>
          <w:rFonts w:hint="eastAsia" w:eastAsia="仿宋_GB2312" w:cs="Times New Roman"/>
          <w:b/>
          <w:bCs/>
          <w:sz w:val="30"/>
          <w:szCs w:val="22"/>
        </w:rPr>
        <w:t>公共设施配套</w:t>
      </w:r>
      <w:r>
        <w:rPr>
          <w:rFonts w:hint="eastAsia" w:cs="Times New Roman"/>
          <w:b/>
          <w:bCs/>
          <w:sz w:val="30"/>
          <w:szCs w:val="22"/>
          <w:lang w:eastAsia="zh-CN"/>
        </w:rPr>
        <w:t>有待</w:t>
      </w:r>
      <w:r>
        <w:rPr>
          <w:rFonts w:hint="eastAsia" w:eastAsia="仿宋_GB2312" w:cs="Times New Roman"/>
          <w:b/>
          <w:bCs/>
          <w:sz w:val="30"/>
          <w:szCs w:val="22"/>
        </w:rPr>
        <w:t>完善</w:t>
      </w:r>
      <w:r>
        <w:rPr>
          <w:rFonts w:eastAsia="仿宋_GB2312" w:cs="Times New Roman"/>
          <w:b/>
          <w:bCs/>
          <w:sz w:val="30"/>
          <w:szCs w:val="22"/>
        </w:rPr>
        <w:t>。</w:t>
      </w:r>
      <w:r>
        <w:rPr>
          <w:rFonts w:hint="eastAsia"/>
        </w:rPr>
        <w:t>至2020年末，</w:t>
      </w:r>
      <w:r>
        <w:rPr>
          <w:rFonts w:hint="eastAsia" w:eastAsia="仿宋_GB2312" w:cs="Times New Roman"/>
          <w:sz w:val="30"/>
          <w:szCs w:val="22"/>
        </w:rPr>
        <w:t>全</w:t>
      </w:r>
      <w:r>
        <w:rPr>
          <w:rFonts w:hint="eastAsia" w:eastAsia="仿宋_GB2312" w:cs="Times New Roman"/>
          <w:sz w:val="30"/>
          <w:szCs w:val="22"/>
          <w:lang w:eastAsia="zh-CN"/>
        </w:rPr>
        <w:t>镇共</w:t>
      </w:r>
      <w:r>
        <w:rPr>
          <w:rFonts w:hint="eastAsia" w:eastAsia="仿宋_GB2312" w:cs="Times New Roman"/>
          <w:sz w:val="30"/>
          <w:szCs w:val="22"/>
        </w:rPr>
        <w:t>有幼儿园1所、小学</w:t>
      </w:r>
      <w:r>
        <w:rPr>
          <w:rFonts w:hint="eastAsia" w:eastAsia="仿宋_GB2312" w:cs="Times New Roman"/>
          <w:sz w:val="30"/>
          <w:szCs w:val="22"/>
          <w:lang w:val="en-US" w:eastAsia="zh-CN"/>
        </w:rPr>
        <w:t>1</w:t>
      </w:r>
      <w:r>
        <w:rPr>
          <w:rFonts w:hint="eastAsia" w:eastAsia="仿宋_GB2312" w:cs="Times New Roman"/>
          <w:sz w:val="30"/>
          <w:szCs w:val="22"/>
        </w:rPr>
        <w:t>所、镇卫生院一处</w:t>
      </w:r>
      <w:r>
        <w:rPr>
          <w:rFonts w:hint="eastAsia" w:eastAsia="仿宋_GB2312" w:cs="Times New Roman"/>
          <w:sz w:val="30"/>
          <w:szCs w:val="22"/>
          <w:lang w:eastAsia="zh-CN"/>
        </w:rPr>
        <w:t>，镇区设有文化站一处</w:t>
      </w:r>
      <w:r>
        <w:rPr>
          <w:rFonts w:hint="eastAsia" w:cs="Times New Roman"/>
          <w:sz w:val="30"/>
          <w:szCs w:val="22"/>
          <w:lang w:eastAsia="zh-CN"/>
        </w:rPr>
        <w:t>，各行政村均配有村卫生室，村医数量不足；全镇给水和电力设施基本满足居民需求，但村庄污水处理设施、通信设施</w:t>
      </w:r>
      <w:r>
        <w:rPr>
          <w:rFonts w:hint="eastAsia"/>
          <w:lang w:val="en-US" w:eastAsia="zh-CN"/>
        </w:rPr>
        <w:t>和垃圾中转站有待完善</w:t>
      </w:r>
      <w:r>
        <w:rPr>
          <w:rFonts w:hint="eastAsia" w:ascii="Times New Roman" w:hAnsi="Times New Roman" w:cs="Times New Roman"/>
          <w:highlight w:val="none"/>
        </w:rPr>
        <w:t>；镇区</w:t>
      </w:r>
      <w:r>
        <w:rPr>
          <w:rFonts w:hint="eastAsia" w:ascii="Times New Roman" w:hAnsi="Times New Roman" w:cs="Times New Roman"/>
          <w:highlight w:val="none"/>
          <w:lang w:eastAsia="zh-CN"/>
        </w:rPr>
        <w:t>无集中</w:t>
      </w:r>
      <w:r>
        <w:rPr>
          <w:rFonts w:hint="eastAsia" w:ascii="Times New Roman" w:hAnsi="Times New Roman" w:cs="Times New Roman"/>
          <w:highlight w:val="none"/>
        </w:rPr>
        <w:t>供热</w:t>
      </w:r>
      <w:r>
        <w:rPr>
          <w:rFonts w:hint="eastAsia" w:ascii="Times New Roman" w:hAnsi="Times New Roman" w:cs="Times New Roman"/>
          <w:highlight w:val="none"/>
          <w:lang w:eastAsia="zh-CN"/>
        </w:rPr>
        <w:t>和</w:t>
      </w:r>
      <w:r>
        <w:rPr>
          <w:rFonts w:hint="eastAsia" w:ascii="Times New Roman" w:hAnsi="Times New Roman" w:cs="Times New Roman"/>
          <w:highlight w:val="none"/>
        </w:rPr>
        <w:t>燃气设施。</w:t>
      </w:r>
    </w:p>
    <w:p w14:paraId="7838531E">
      <w:pPr>
        <w:pStyle w:val="3"/>
        <w:spacing w:before="204" w:after="81"/>
        <w:ind w:firstLine="0" w:firstLineChars="0"/>
        <w:rPr>
          <w:rFonts w:ascii="Times New Roman" w:hAnsi="Times New Roman" w:cs="Times New Roman"/>
          <w:b/>
          <w:bCs w:val="0"/>
        </w:rPr>
      </w:pPr>
      <w:bookmarkStart w:id="24" w:name="_Toc21301"/>
      <w:bookmarkStart w:id="25" w:name="_Toc25728"/>
      <w:r>
        <w:rPr>
          <w:rFonts w:ascii="Times New Roman" w:hAnsi="Times New Roman" w:cs="Times New Roman"/>
          <w:b/>
          <w:bCs w:val="0"/>
        </w:rPr>
        <w:t>第</w:t>
      </w:r>
      <w:r>
        <w:rPr>
          <w:rFonts w:hint="eastAsia" w:ascii="Times New Roman" w:hAnsi="Times New Roman" w:cs="Times New Roman"/>
          <w:b/>
          <w:bCs w:val="0"/>
        </w:rPr>
        <w:t>二</w:t>
      </w:r>
      <w:r>
        <w:rPr>
          <w:rFonts w:ascii="Times New Roman" w:hAnsi="Times New Roman" w:cs="Times New Roman"/>
          <w:b/>
          <w:bCs w:val="0"/>
        </w:rPr>
        <w:t xml:space="preserve">章  </w:t>
      </w:r>
      <w:r>
        <w:rPr>
          <w:rFonts w:hint="eastAsia" w:ascii="Times New Roman" w:hAnsi="Times New Roman" w:cs="Times New Roman"/>
          <w:b/>
          <w:bCs w:val="0"/>
        </w:rPr>
        <w:t>规划定位与目标</w:t>
      </w:r>
      <w:bookmarkEnd w:id="24"/>
      <w:bookmarkEnd w:id="25"/>
    </w:p>
    <w:p w14:paraId="4B1F4983">
      <w:pPr>
        <w:pStyle w:val="4"/>
        <w:spacing w:before="204" w:after="81"/>
        <w:ind w:firstLine="0" w:firstLineChars="0"/>
        <w:rPr>
          <w:rFonts w:ascii="Times New Roman" w:hAnsi="Times New Roman" w:cs="Times New Roman"/>
        </w:rPr>
      </w:pPr>
      <w:bookmarkStart w:id="26" w:name="_Toc14758"/>
      <w:bookmarkStart w:id="27" w:name="_Toc23764"/>
      <w:r>
        <w:rPr>
          <w:rFonts w:ascii="Times New Roman" w:hAnsi="Times New Roman" w:cs="Times New Roman"/>
        </w:rPr>
        <w:t>第</w:t>
      </w:r>
      <w:r>
        <w:rPr>
          <w:rFonts w:hint="eastAsia" w:ascii="Times New Roman" w:hAnsi="Times New Roman" w:cs="Times New Roman"/>
          <w:lang w:eastAsia="zh-CN"/>
        </w:rPr>
        <w:t>一</w:t>
      </w:r>
      <w:r>
        <w:rPr>
          <w:rFonts w:ascii="Times New Roman" w:hAnsi="Times New Roman" w:cs="Times New Roman"/>
        </w:rPr>
        <w:t xml:space="preserve">节  </w:t>
      </w:r>
      <w:r>
        <w:rPr>
          <w:rFonts w:hint="eastAsia" w:ascii="Times New Roman" w:hAnsi="Times New Roman" w:cs="Times New Roman"/>
        </w:rPr>
        <w:t>规划定位</w:t>
      </w:r>
      <w:bookmarkEnd w:id="26"/>
      <w:bookmarkEnd w:id="27"/>
    </w:p>
    <w:p w14:paraId="0912B7A0">
      <w:pPr>
        <w:ind w:firstLine="600"/>
        <w:rPr>
          <w:rFonts w:hint="eastAsia" w:ascii="Times New Roman" w:hAnsi="Times New Roman" w:cs="Times New Roman"/>
          <w:b w:val="0"/>
          <w:bCs w:val="0"/>
          <w:szCs w:val="30"/>
          <w:lang w:val="en-US" w:eastAsia="zh-CN"/>
        </w:rPr>
      </w:pPr>
      <w:r>
        <w:rPr>
          <w:rFonts w:hint="eastAsia" w:ascii="Times New Roman" w:hAnsi="Times New Roman" w:cs="Times New Roman"/>
          <w:b/>
          <w:bCs/>
          <w:szCs w:val="30"/>
          <w:lang w:val="en-US" w:eastAsia="zh-CN"/>
        </w:rPr>
        <w:t>通过落实上位规划要求，综合考虑红花铺镇的区位交通、自然资源、历史文化、经济社会发展等因素，以“生态立镇、产业强镇、文旅兴镇、矿业富镇”为发展主线，将红花铺镇建设成为集生态宜居、农旅融合、康养休闲与矿产资源开发于一体的秦岭特色小镇，成为凤县全域旅游的重要节点和乡村振兴示范镇</w:t>
      </w:r>
      <w:bookmarkStart w:id="28" w:name="_Toc1879"/>
      <w:bookmarkStart w:id="29" w:name="_Toc9953"/>
    </w:p>
    <w:p w14:paraId="06284CBD">
      <w:pPr>
        <w:ind w:firstLine="600"/>
        <w:rPr>
          <w:rFonts w:hint="eastAsia" w:ascii="Times New Roman" w:hAnsi="Times New Roman" w:cs="Times New Roman"/>
          <w:b w:val="0"/>
          <w:bCs w:val="0"/>
          <w:szCs w:val="30"/>
          <w:lang w:val="en-US" w:eastAsia="zh-CN"/>
        </w:rPr>
      </w:pPr>
      <w:r>
        <w:rPr>
          <w:rFonts w:hint="eastAsia" w:ascii="Times New Roman" w:hAnsi="Times New Roman" w:cs="Times New Roman"/>
          <w:b/>
          <w:bCs/>
          <w:szCs w:val="30"/>
          <w:lang w:val="en-US" w:eastAsia="zh-CN"/>
        </w:rPr>
        <w:t>碧水青山宜居镇：</w:t>
      </w:r>
      <w:r>
        <w:rPr>
          <w:rFonts w:hint="eastAsia" w:ascii="Times New Roman" w:hAnsi="Times New Roman" w:cs="Times New Roman"/>
          <w:b w:val="0"/>
          <w:bCs w:val="0"/>
          <w:szCs w:val="30"/>
          <w:lang w:val="en-US" w:eastAsia="zh-CN"/>
        </w:rPr>
        <w:t>依托秦岭生态屏障，打造绿色低碳、环境优美的宜居小镇。推进人居环境整治，完善基础设施，建设生态步道、休闲公园等公共空间。</w:t>
      </w:r>
      <w:r>
        <w:rPr>
          <w:rFonts w:hint="eastAsia" w:ascii="Times New Roman" w:hAnsi="Times New Roman" w:cs="Times New Roman"/>
          <w:b w:val="0"/>
          <w:bCs w:val="0"/>
          <w:szCs w:val="30"/>
          <w:lang w:val="en-US" w:eastAsia="zh-CN"/>
        </w:rPr>
        <w:br w:type="textWrapping"/>
      </w:r>
      <w:r>
        <w:rPr>
          <w:rFonts w:hint="eastAsia" w:ascii="Times New Roman" w:hAnsi="Times New Roman" w:cs="Times New Roman"/>
          <w:b w:val="0"/>
          <w:bCs w:val="0"/>
          <w:szCs w:val="30"/>
          <w:lang w:val="en-US" w:eastAsia="zh-CN"/>
        </w:rPr>
        <w:t xml:space="preserve">    </w:t>
      </w:r>
      <w:r>
        <w:rPr>
          <w:rFonts w:hint="eastAsia" w:ascii="Times New Roman" w:hAnsi="Times New Roman" w:cs="Times New Roman"/>
          <w:b/>
          <w:bCs/>
          <w:szCs w:val="30"/>
          <w:lang w:val="en-US" w:eastAsia="zh-CN"/>
        </w:rPr>
        <w:t>农旅融合活力镇：</w:t>
      </w:r>
      <w:r>
        <w:rPr>
          <w:rFonts w:hint="eastAsia" w:ascii="Times New Roman" w:hAnsi="Times New Roman" w:cs="Times New Roman"/>
          <w:b w:val="0"/>
          <w:bCs w:val="0"/>
          <w:szCs w:val="30"/>
          <w:lang w:val="en-US" w:eastAsia="zh-CN"/>
        </w:rPr>
        <w:t>以农业为基础，发展特色种植（如食用菌、中药材、中蜂、林果等），推动农业品牌化。结合乡村旅游，开发田园观光、农事体验、生态休闲等项目，形成“农业+旅游”产业链。</w:t>
      </w:r>
      <w:r>
        <w:rPr>
          <w:rFonts w:hint="eastAsia" w:ascii="Times New Roman" w:hAnsi="Times New Roman" w:cs="Times New Roman"/>
          <w:b w:val="0"/>
          <w:bCs w:val="0"/>
          <w:szCs w:val="30"/>
          <w:lang w:val="en-US" w:eastAsia="zh-CN"/>
        </w:rPr>
        <w:br w:type="textWrapping"/>
      </w:r>
      <w:r>
        <w:rPr>
          <w:rFonts w:hint="eastAsia" w:ascii="Times New Roman" w:hAnsi="Times New Roman" w:cs="Times New Roman"/>
          <w:b w:val="0"/>
          <w:bCs w:val="0"/>
          <w:szCs w:val="30"/>
          <w:lang w:val="en-US" w:eastAsia="zh-CN"/>
        </w:rPr>
        <w:t xml:space="preserve">   </w:t>
      </w:r>
      <w:r>
        <w:rPr>
          <w:rFonts w:hint="eastAsia" w:ascii="Times New Roman" w:hAnsi="Times New Roman" w:cs="Times New Roman"/>
          <w:b/>
          <w:bCs/>
          <w:szCs w:val="30"/>
          <w:lang w:val="en-US" w:eastAsia="zh-CN"/>
        </w:rPr>
        <w:t xml:space="preserve"> 矿产资源开发：</w:t>
      </w:r>
      <w:r>
        <w:rPr>
          <w:rFonts w:hint="eastAsia" w:ascii="Times New Roman" w:hAnsi="Times New Roman" w:cs="Times New Roman"/>
          <w:b w:val="0"/>
          <w:bCs w:val="0"/>
          <w:szCs w:val="30"/>
          <w:lang w:val="en-US" w:eastAsia="zh-CN"/>
        </w:rPr>
        <w:t>在秦岭生态保护的前提下，合理规划矿产资源开发，重点发展绿色矿业。对草凉驿龙王沟、红花铺银洞沟加大矿产资源勘探、绿色开采，镇域内推进钾长石、铅锌矿等矿产资源加工及产业链延伸。</w:t>
      </w:r>
    </w:p>
    <w:p w14:paraId="67F25410">
      <w:pPr>
        <w:pStyle w:val="4"/>
        <w:spacing w:before="204" w:after="81"/>
        <w:ind w:firstLine="0" w:firstLineChars="0"/>
        <w:rPr>
          <w:rFonts w:ascii="Times New Roman" w:hAnsi="Times New Roman" w:cs="Times New Roman"/>
        </w:rPr>
      </w:pPr>
      <w:r>
        <w:rPr>
          <w:rFonts w:ascii="Times New Roman" w:hAnsi="Times New Roman" w:cs="Times New Roman"/>
        </w:rPr>
        <w:t>第</w:t>
      </w:r>
      <w:r>
        <w:rPr>
          <w:rFonts w:hint="eastAsia" w:ascii="Times New Roman" w:hAnsi="Times New Roman" w:cs="Times New Roman"/>
          <w:lang w:eastAsia="zh-CN"/>
        </w:rPr>
        <w:t>二</w:t>
      </w:r>
      <w:r>
        <w:rPr>
          <w:rFonts w:ascii="Times New Roman" w:hAnsi="Times New Roman" w:cs="Times New Roman"/>
        </w:rPr>
        <w:t xml:space="preserve">节  </w:t>
      </w:r>
      <w:r>
        <w:rPr>
          <w:rFonts w:hint="eastAsia" w:ascii="Times New Roman" w:hAnsi="Times New Roman" w:cs="Times New Roman"/>
        </w:rPr>
        <w:t>规划目标与指标</w:t>
      </w:r>
      <w:bookmarkEnd w:id="28"/>
      <w:bookmarkEnd w:id="29"/>
    </w:p>
    <w:p w14:paraId="04FE3002">
      <w:pPr>
        <w:pStyle w:val="5"/>
        <w:widowControl w:val="0"/>
        <w:numPr>
          <w:ilvl w:val="0"/>
          <w:numId w:val="0"/>
        </w:numPr>
        <w:tabs>
          <w:tab w:val="left" w:pos="420"/>
        </w:tabs>
        <w:spacing w:beforeAutospacing="1" w:line="240" w:lineRule="auto"/>
        <w:ind w:left="102" w:leftChars="0" w:firstLine="602" w:firstLineChars="200"/>
        <w:rPr>
          <w:rFonts w:ascii="仿宋_GB2312" w:hAnsi="仿宋" w:cs="Times New Roman"/>
          <w:szCs w:val="30"/>
        </w:rPr>
      </w:pPr>
      <w:r>
        <w:rPr>
          <w:rFonts w:hint="eastAsia" w:ascii="仿宋_GB2312" w:hAnsi="仿宋" w:eastAsia="仿宋_GB2312" w:cs="Times New Roman"/>
          <w:b/>
          <w:bCs/>
          <w:kern w:val="2"/>
          <w:sz w:val="30"/>
          <w:szCs w:val="30"/>
          <w:lang w:val="en-US" w:eastAsia="zh-CN" w:bidi="ar-SA"/>
        </w:rPr>
        <w:t>一、</w:t>
      </w:r>
      <w:r>
        <w:rPr>
          <w:rFonts w:hint="eastAsia" w:ascii="仿宋_GB2312" w:hAnsi="仿宋" w:cs="Times New Roman"/>
          <w:szCs w:val="30"/>
        </w:rPr>
        <w:t>规划目标</w:t>
      </w:r>
    </w:p>
    <w:p w14:paraId="61D11ADF">
      <w:pPr>
        <w:ind w:firstLine="600"/>
        <w:outlineLvl w:val="3"/>
        <w:rPr>
          <w:rFonts w:hint="eastAsia" w:ascii="Times New Roman" w:hAnsi="Times New Roman" w:cs="Times New Roman"/>
          <w:b w:val="0"/>
          <w:bCs w:val="0"/>
          <w:szCs w:val="30"/>
          <w:lang w:val="en-US" w:eastAsia="zh-CN"/>
        </w:rPr>
      </w:pPr>
      <w:r>
        <w:rPr>
          <w:rFonts w:hint="eastAsia" w:ascii="Times New Roman" w:hAnsi="Times New Roman" w:cs="Times New Roman"/>
          <w:b w:val="0"/>
          <w:bCs w:val="0"/>
          <w:szCs w:val="30"/>
          <w:lang w:val="en-US" w:eastAsia="zh-CN"/>
        </w:rPr>
        <w:t>（一）生态环境安全牢固。</w:t>
      </w:r>
    </w:p>
    <w:p w14:paraId="02812222">
      <w:pPr>
        <w:ind w:firstLine="600"/>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到2025年，有序落实各类生态保护任务，明确各项任务的责任主体与时间节点，确保任务按计划推进，建立健全森林资源保护制度，初步探索生态优势转化为经济优势的有效途径和模式。</w:t>
      </w:r>
    </w:p>
    <w:p w14:paraId="20922957">
      <w:pPr>
        <w:ind w:firstLine="600"/>
        <w:rPr>
          <w:rFonts w:hint="default" w:ascii="Times New Roman" w:hAnsi="Times New Roman" w:cs="Times New Roman"/>
          <w:szCs w:val="30"/>
          <w:lang w:val="en-US" w:eastAsia="zh-CN"/>
        </w:rPr>
      </w:pPr>
      <w:r>
        <w:rPr>
          <w:rFonts w:hint="eastAsia" w:ascii="Times New Roman" w:hAnsi="Times New Roman" w:cs="Times New Roman"/>
          <w:szCs w:val="30"/>
          <w:lang w:val="en-US" w:eastAsia="zh-CN"/>
        </w:rPr>
        <w:t>到2035年，生态保护任务全面落实，山水林田湖草沙一体化保护和修复治理成效显著，森林覆盖率稳步提升，生态优势转化为经济优势的内生动力明显增强。</w:t>
      </w:r>
    </w:p>
    <w:p w14:paraId="4ED43467">
      <w:pPr>
        <w:ind w:firstLine="600"/>
        <w:outlineLvl w:val="3"/>
        <w:rPr>
          <w:rFonts w:hint="eastAsia" w:ascii="Times New Roman" w:hAnsi="Times New Roman" w:cs="Times New Roman"/>
          <w:b w:val="0"/>
          <w:bCs w:val="0"/>
          <w:szCs w:val="30"/>
          <w:lang w:val="en-US" w:eastAsia="zh-CN"/>
        </w:rPr>
      </w:pPr>
      <w:r>
        <w:rPr>
          <w:rFonts w:hint="eastAsia" w:ascii="Times New Roman" w:hAnsi="Times New Roman" w:cs="Times New Roman"/>
          <w:b w:val="0"/>
          <w:bCs w:val="0"/>
          <w:szCs w:val="30"/>
          <w:lang w:val="en-US" w:eastAsia="zh-CN"/>
        </w:rPr>
        <w:t>（二）农业空间稳固提升。</w:t>
      </w:r>
    </w:p>
    <w:p w14:paraId="35E5EAFD">
      <w:pPr>
        <w:ind w:firstLine="600"/>
        <w:rPr>
          <w:rFonts w:hint="eastAsia" w:ascii="Times New Roman" w:hAnsi="Times New Roman" w:cs="Times New Roman"/>
          <w:b w:val="0"/>
          <w:bCs w:val="0"/>
          <w:szCs w:val="30"/>
          <w:lang w:val="en-US" w:eastAsia="zh-CN"/>
        </w:rPr>
      </w:pPr>
      <w:r>
        <w:rPr>
          <w:rFonts w:hint="eastAsia" w:ascii="Times New Roman" w:hAnsi="Times New Roman" w:cs="Times New Roman"/>
          <w:b w:val="0"/>
          <w:bCs w:val="0"/>
          <w:szCs w:val="30"/>
          <w:lang w:val="en-US" w:eastAsia="zh-CN"/>
        </w:rPr>
        <w:t>到2025年，使一定比例的耕地质量得到改善，土壤肥力、保水保肥能力等指标有所提高，严格落实耕地和永久基本农田保护制度，加大农业科技创新和推广力度。</w:t>
      </w:r>
    </w:p>
    <w:p w14:paraId="3A3CCB15">
      <w:pPr>
        <w:ind w:firstLine="600"/>
        <w:rPr>
          <w:rFonts w:hint="eastAsia" w:ascii="Times New Roman" w:hAnsi="Times New Roman" w:cs="Times New Roman"/>
          <w:b w:val="0"/>
          <w:bCs w:val="0"/>
          <w:szCs w:val="30"/>
          <w:lang w:val="en-US" w:eastAsia="zh-CN"/>
        </w:rPr>
      </w:pPr>
      <w:r>
        <w:rPr>
          <w:rFonts w:hint="eastAsia" w:ascii="Times New Roman" w:hAnsi="Times New Roman" w:cs="Times New Roman"/>
          <w:b w:val="0"/>
          <w:bCs w:val="0"/>
          <w:szCs w:val="30"/>
          <w:lang w:val="en-US" w:eastAsia="zh-CN"/>
        </w:rPr>
        <w:t>到2035年，耕地质量稳步提升，耕地和永久基本农田数量全面落实，农业产业现代化基本实现，产业生产经营水平逐步提高，农产品建设力度有序完善。</w:t>
      </w:r>
    </w:p>
    <w:p w14:paraId="62FC3082">
      <w:pPr>
        <w:ind w:firstLine="600"/>
        <w:outlineLvl w:val="3"/>
        <w:rPr>
          <w:rFonts w:hint="eastAsia" w:ascii="Times New Roman" w:hAnsi="Times New Roman" w:cs="Times New Roman"/>
          <w:b w:val="0"/>
          <w:bCs w:val="0"/>
          <w:szCs w:val="30"/>
          <w:lang w:val="en-US" w:eastAsia="zh-CN"/>
        </w:rPr>
      </w:pPr>
      <w:r>
        <w:rPr>
          <w:rFonts w:hint="eastAsia" w:ascii="Times New Roman" w:hAnsi="Times New Roman" w:cs="Times New Roman"/>
          <w:b w:val="0"/>
          <w:bCs w:val="0"/>
          <w:szCs w:val="30"/>
          <w:lang w:val="en-US" w:eastAsia="zh-CN"/>
        </w:rPr>
        <w:t>（三）城镇空间宜居宜业。</w:t>
      </w:r>
    </w:p>
    <w:p w14:paraId="00DC91DA">
      <w:pPr>
        <w:ind w:firstLine="600"/>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到2025年，</w:t>
      </w:r>
      <w:r>
        <w:rPr>
          <w:rFonts w:ascii="Times New Roman" w:hAnsi="Times New Roman" w:cs="Times New Roman"/>
          <w:szCs w:val="30"/>
        </w:rPr>
        <w:t>初步建立国土空间治理体系</w:t>
      </w:r>
      <w:r>
        <w:rPr>
          <w:rFonts w:hint="eastAsia" w:ascii="Times New Roman" w:hAnsi="Times New Roman" w:cs="Times New Roman"/>
          <w:szCs w:val="30"/>
          <w:lang w:eastAsia="zh-CN"/>
        </w:rPr>
        <w:t>，</w:t>
      </w:r>
      <w:r>
        <w:rPr>
          <w:rFonts w:ascii="Times New Roman" w:hAnsi="Times New Roman" w:cs="Times New Roman"/>
          <w:szCs w:val="30"/>
        </w:rPr>
        <w:t>相关的政策制度和管理机制</w:t>
      </w:r>
      <w:r>
        <w:rPr>
          <w:rFonts w:hint="eastAsia" w:ascii="Times New Roman" w:hAnsi="Times New Roman" w:cs="Times New Roman"/>
          <w:szCs w:val="30"/>
          <w:lang w:val="en-US" w:eastAsia="zh-CN"/>
        </w:rPr>
        <w:t>有所完善；</w:t>
      </w:r>
      <w:r>
        <w:rPr>
          <w:rFonts w:ascii="Times New Roman" w:hAnsi="Times New Roman" w:cs="Times New Roman"/>
          <w:szCs w:val="30"/>
        </w:rPr>
        <w:t>镇域空间布局进行优化调整</w:t>
      </w:r>
      <w:r>
        <w:rPr>
          <w:rFonts w:hint="eastAsia" w:ascii="Times New Roman" w:hAnsi="Times New Roman" w:cs="Times New Roman"/>
          <w:szCs w:val="30"/>
          <w:lang w:eastAsia="zh-CN"/>
        </w:rPr>
        <w:t>，</w:t>
      </w:r>
      <w:r>
        <w:rPr>
          <w:rFonts w:hint="eastAsia" w:ascii="Times New Roman" w:hAnsi="Times New Roman" w:cs="Times New Roman"/>
          <w:szCs w:val="30"/>
          <w:lang w:val="en-US" w:eastAsia="zh-CN"/>
        </w:rPr>
        <w:t>加大对基础设施建设的投入。</w:t>
      </w:r>
    </w:p>
    <w:p w14:paraId="322D26BA">
      <w:pPr>
        <w:ind w:firstLine="600"/>
        <w:rPr>
          <w:rFonts w:hint="default" w:ascii="Times New Roman" w:hAnsi="Times New Roman" w:cs="Times New Roman"/>
          <w:b/>
          <w:bCs/>
          <w:szCs w:val="30"/>
          <w:lang w:val="en-US" w:eastAsia="zh-CN"/>
        </w:rPr>
      </w:pPr>
      <w:r>
        <w:rPr>
          <w:rFonts w:hint="eastAsia" w:ascii="Times New Roman" w:hAnsi="Times New Roman" w:cs="Times New Roman"/>
          <w:szCs w:val="30"/>
          <w:lang w:val="en-US" w:eastAsia="zh-CN"/>
        </w:rPr>
        <w:t>到2035年，</w:t>
      </w:r>
      <w:r>
        <w:rPr>
          <w:rFonts w:hint="eastAsia" w:ascii="Times New Roman" w:hAnsi="Times New Roman" w:cs="Times New Roman"/>
          <w:szCs w:val="30"/>
          <w:lang w:eastAsia="zh-CN"/>
        </w:rPr>
        <w:t>红花铺镇基本实现国土空间治理体系和治理能力现代化；</w:t>
      </w:r>
      <w:r>
        <w:rPr>
          <w:rFonts w:ascii="Times New Roman" w:hAnsi="Times New Roman" w:cs="Times New Roman"/>
          <w:szCs w:val="30"/>
        </w:rPr>
        <w:t>镇域空间布局全面优化，城乡品质有效提升，村庄居民点布局更加合理，人居环境显著改善，资源配置科学合理、基础设施体系更加完善。</w:t>
      </w:r>
    </w:p>
    <w:p w14:paraId="29EA429F">
      <w:pPr>
        <w:pStyle w:val="5"/>
        <w:widowControl w:val="0"/>
        <w:numPr>
          <w:ilvl w:val="0"/>
          <w:numId w:val="0"/>
        </w:numPr>
        <w:tabs>
          <w:tab w:val="left" w:pos="420"/>
        </w:tabs>
        <w:spacing w:beforeAutospacing="1" w:line="240" w:lineRule="auto"/>
        <w:ind w:left="102" w:leftChars="0" w:firstLine="602" w:firstLineChars="200"/>
        <w:rPr>
          <w:rFonts w:ascii="仿宋_GB2312" w:hAnsi="仿宋" w:cs="Times New Roman"/>
          <w:szCs w:val="30"/>
        </w:rPr>
      </w:pPr>
      <w:r>
        <w:rPr>
          <w:rFonts w:hint="eastAsia" w:ascii="仿宋_GB2312" w:hAnsi="仿宋" w:eastAsia="仿宋_GB2312" w:cs="Times New Roman"/>
          <w:b/>
          <w:bCs/>
          <w:kern w:val="2"/>
          <w:sz w:val="30"/>
          <w:szCs w:val="30"/>
          <w:lang w:val="en-US" w:eastAsia="zh-CN" w:bidi="ar-SA"/>
        </w:rPr>
        <w:t>二、</w:t>
      </w:r>
      <w:r>
        <w:rPr>
          <w:rFonts w:hint="eastAsia" w:ascii="仿宋_GB2312" w:hAnsi="仿宋" w:cs="Times New Roman"/>
          <w:szCs w:val="30"/>
        </w:rPr>
        <w:t>指标体系</w:t>
      </w:r>
    </w:p>
    <w:p w14:paraId="1BABF7E6">
      <w:pPr>
        <w:ind w:firstLine="600"/>
        <w:rPr>
          <w:rFonts w:ascii="Times New Roman" w:hAnsi="Times New Roman" w:cs="Times New Roman"/>
        </w:rPr>
      </w:pPr>
      <w:r>
        <w:rPr>
          <w:rFonts w:ascii="Times New Roman" w:hAnsi="Times New Roman" w:cs="Times New Roman"/>
          <w:szCs w:val="30"/>
        </w:rPr>
        <w:t>落实上位规划发展目标，加强镇域国土空间保护、开发、利用、修复，规划从全域和镇区两个层级构建刚性考核与弹性管理相结合的指标体系，共包括9项指标，按照指标属性分为</w:t>
      </w:r>
      <w:r>
        <w:rPr>
          <w:rFonts w:hint="eastAsia" w:ascii="Times New Roman" w:hAnsi="Times New Roman" w:cs="Times New Roman"/>
          <w:szCs w:val="30"/>
          <w:lang w:val="en-US" w:eastAsia="zh-CN"/>
        </w:rPr>
        <w:t>6</w:t>
      </w:r>
      <w:r>
        <w:rPr>
          <w:rFonts w:ascii="Times New Roman" w:hAnsi="Times New Roman" w:cs="Times New Roman"/>
          <w:szCs w:val="30"/>
        </w:rPr>
        <w:t>项约束性指标和</w:t>
      </w:r>
      <w:r>
        <w:rPr>
          <w:rFonts w:hint="eastAsia" w:ascii="Times New Roman" w:hAnsi="Times New Roman" w:cs="Times New Roman"/>
          <w:szCs w:val="30"/>
          <w:lang w:val="en-US" w:eastAsia="zh-CN"/>
        </w:rPr>
        <w:t>3</w:t>
      </w:r>
      <w:r>
        <w:rPr>
          <w:rFonts w:ascii="Times New Roman" w:hAnsi="Times New Roman" w:cs="Times New Roman"/>
          <w:szCs w:val="30"/>
        </w:rPr>
        <w:t>项预期性指标。</w:t>
      </w:r>
    </w:p>
    <w:p w14:paraId="52CB3784">
      <w:pPr>
        <w:ind w:firstLine="600"/>
        <w:sectPr>
          <w:headerReference r:id="rId17" w:type="default"/>
          <w:pgSz w:w="11906" w:h="16838"/>
          <w:pgMar w:top="1701" w:right="1418" w:bottom="1531" w:left="1701" w:header="1134" w:footer="737" w:gutter="0"/>
          <w:cols w:space="425" w:num="1"/>
          <w:docGrid w:type="lines" w:linePitch="408" w:charSpace="0"/>
        </w:sectPr>
      </w:pPr>
      <w:r>
        <w:rPr>
          <w:rFonts w:hint="eastAsia"/>
        </w:rPr>
        <w:t>（</w:t>
      </w:r>
      <w:r>
        <w:rPr>
          <w:rFonts w:hint="eastAsia"/>
          <w:lang w:eastAsia="zh-CN"/>
        </w:rPr>
        <w:t>红花铺镇</w:t>
      </w:r>
      <w:r>
        <w:rPr>
          <w:rFonts w:hint="eastAsia"/>
        </w:rPr>
        <w:t>国土空间规划指标表见附表1）</w:t>
      </w:r>
    </w:p>
    <w:p w14:paraId="68D12D5A">
      <w:pPr>
        <w:pStyle w:val="3"/>
        <w:spacing w:before="204" w:after="81"/>
        <w:ind w:firstLine="0" w:firstLineChars="0"/>
        <w:rPr>
          <w:rFonts w:hint="default" w:ascii="Times New Roman" w:hAnsi="Times New Roman" w:eastAsia="黑体" w:cs="Times New Roman"/>
          <w:b/>
          <w:bCs w:val="0"/>
          <w:lang w:val="en-US" w:eastAsia="zh-CN"/>
        </w:rPr>
      </w:pPr>
      <w:bookmarkStart w:id="30" w:name="_Toc25744"/>
      <w:bookmarkStart w:id="31" w:name="_Toc2347"/>
      <w:r>
        <w:rPr>
          <w:rFonts w:ascii="Times New Roman" w:hAnsi="Times New Roman" w:cs="Times New Roman"/>
          <w:b/>
          <w:bCs w:val="0"/>
        </w:rPr>
        <w:t>第</w:t>
      </w:r>
      <w:r>
        <w:rPr>
          <w:rFonts w:hint="eastAsia" w:ascii="Times New Roman" w:hAnsi="Times New Roman" w:cs="Times New Roman"/>
          <w:b/>
          <w:bCs w:val="0"/>
          <w:lang w:eastAsia="zh-CN"/>
        </w:rPr>
        <w:t>三</w:t>
      </w:r>
      <w:r>
        <w:rPr>
          <w:rFonts w:ascii="Times New Roman" w:hAnsi="Times New Roman" w:cs="Times New Roman"/>
          <w:b/>
          <w:bCs w:val="0"/>
        </w:rPr>
        <w:t xml:space="preserve">章  </w:t>
      </w:r>
      <w:r>
        <w:rPr>
          <w:rFonts w:hint="eastAsia" w:ascii="Times New Roman" w:hAnsi="Times New Roman" w:cs="Times New Roman"/>
          <w:b/>
          <w:bCs w:val="0"/>
          <w:lang w:val="en-US" w:eastAsia="zh-CN"/>
        </w:rPr>
        <w:t>重要控制线落实</w:t>
      </w:r>
      <w:bookmarkEnd w:id="30"/>
      <w:bookmarkEnd w:id="31"/>
    </w:p>
    <w:p w14:paraId="79F68349">
      <w:pPr>
        <w:pStyle w:val="4"/>
        <w:spacing w:before="204" w:after="81"/>
        <w:ind w:firstLine="0" w:firstLineChars="0"/>
        <w:rPr>
          <w:rFonts w:ascii="Times New Roman" w:hAnsi="Times New Roman" w:cs="Times New Roman"/>
        </w:rPr>
      </w:pPr>
      <w:bookmarkStart w:id="32" w:name="_Toc31022"/>
      <w:bookmarkStart w:id="33" w:name="_Toc14631"/>
      <w:bookmarkStart w:id="34" w:name="_Toc15450"/>
      <w:r>
        <w:rPr>
          <w:rFonts w:hint="eastAsia" w:ascii="Times New Roman" w:hAnsi="Times New Roman" w:cs="Times New Roman"/>
        </w:rPr>
        <w:t xml:space="preserve">第一节 </w:t>
      </w:r>
      <w:r>
        <w:rPr>
          <w:rFonts w:hint="eastAsia" w:ascii="Times New Roman" w:hAnsi="Times New Roman" w:cs="Times New Roman"/>
          <w:lang w:val="en-US" w:eastAsia="zh-CN"/>
        </w:rPr>
        <w:t xml:space="preserve"> </w:t>
      </w:r>
      <w:r>
        <w:rPr>
          <w:rFonts w:hint="eastAsia" w:ascii="Times New Roman" w:hAnsi="Times New Roman" w:cs="Times New Roman"/>
        </w:rPr>
        <w:t>落实</w:t>
      </w:r>
      <w:r>
        <w:rPr>
          <w:rFonts w:hint="eastAsia" w:ascii="Times New Roman" w:hAnsi="Times New Roman" w:cs="Times New Roman"/>
          <w:lang w:val="en-US" w:eastAsia="zh-CN"/>
        </w:rPr>
        <w:t>三条控制线</w:t>
      </w:r>
      <w:bookmarkEnd w:id="32"/>
      <w:bookmarkEnd w:id="33"/>
    </w:p>
    <w:p w14:paraId="3429EA9F">
      <w:pPr>
        <w:pStyle w:val="5"/>
        <w:widowControl w:val="0"/>
        <w:numPr>
          <w:ilvl w:val="0"/>
          <w:numId w:val="0"/>
        </w:numPr>
        <w:tabs>
          <w:tab w:val="left" w:pos="420"/>
        </w:tabs>
        <w:spacing w:beforeAutospacing="1" w:line="240" w:lineRule="auto"/>
        <w:ind w:left="1424" w:leftChars="0" w:hanging="720" w:firstLineChars="0"/>
        <w:rPr>
          <w:rFonts w:ascii="仿宋_GB2312" w:hAnsi="仿宋" w:cs="Times New Roman"/>
          <w:szCs w:val="30"/>
        </w:rPr>
      </w:pPr>
      <w:r>
        <w:rPr>
          <w:rFonts w:hint="default" w:ascii="仿宋_GB2312" w:hAnsi="仿宋" w:eastAsia="仿宋_GB2312" w:cs="Times New Roman"/>
          <w:b/>
          <w:bCs/>
          <w:kern w:val="2"/>
          <w:sz w:val="30"/>
          <w:szCs w:val="30"/>
          <w:lang w:val="en-US" w:eastAsia="zh-CN" w:bidi="ar-SA"/>
        </w:rPr>
        <w:t>一、</w:t>
      </w:r>
      <w:r>
        <w:rPr>
          <w:rFonts w:hint="eastAsia" w:ascii="仿宋_GB2312" w:hAnsi="仿宋" w:cs="Times New Roman"/>
          <w:szCs w:val="30"/>
        </w:rPr>
        <w:t>耕地</w:t>
      </w:r>
      <w:r>
        <w:rPr>
          <w:rFonts w:hint="eastAsia" w:ascii="仿宋_GB2312" w:hAnsi="仿宋" w:cs="Times New Roman"/>
          <w:szCs w:val="30"/>
          <w:lang w:val="en-US" w:eastAsia="zh-CN"/>
        </w:rPr>
        <w:t>和</w:t>
      </w:r>
      <w:r>
        <w:rPr>
          <w:rFonts w:hint="eastAsia" w:ascii="仿宋_GB2312" w:hAnsi="仿宋" w:cs="Times New Roman"/>
          <w:szCs w:val="30"/>
        </w:rPr>
        <w:t>永久基本农田保护红线</w:t>
      </w:r>
    </w:p>
    <w:p w14:paraId="11EBB2CC">
      <w:pPr>
        <w:ind w:firstLine="600"/>
        <w:rPr>
          <w:rFonts w:hint="eastAsia" w:ascii="Times New Roman" w:hAnsi="Times New Roman" w:cs="Times New Roman"/>
          <w:szCs w:val="30"/>
        </w:rPr>
      </w:pPr>
      <w:r>
        <w:rPr>
          <w:rFonts w:hint="eastAsia" w:ascii="Times New Roman" w:hAnsi="Times New Roman" w:cs="Times New Roman"/>
          <w:szCs w:val="30"/>
        </w:rPr>
        <w:t>落实上位规划确定的耕地</w:t>
      </w:r>
      <w:r>
        <w:rPr>
          <w:rFonts w:hint="eastAsia" w:ascii="Times New Roman" w:hAnsi="Times New Roman" w:cs="Times New Roman"/>
          <w:szCs w:val="30"/>
          <w:lang w:val="en-US" w:eastAsia="zh-CN"/>
        </w:rPr>
        <w:t>和</w:t>
      </w:r>
      <w:r>
        <w:rPr>
          <w:rFonts w:hint="eastAsia" w:ascii="Times New Roman" w:hAnsi="Times New Roman" w:cs="Times New Roman"/>
          <w:szCs w:val="30"/>
        </w:rPr>
        <w:t>永久基本农田保护红线，红花铺镇划定耕地保护目标面积201.89公顷</w:t>
      </w:r>
      <w:r>
        <w:rPr>
          <w:rFonts w:hint="eastAsia" w:ascii="Times New Roman" w:hAnsi="Times New Roman" w:cs="Times New Roman"/>
          <w:szCs w:val="30"/>
          <w:lang w:eastAsia="zh-CN"/>
        </w:rPr>
        <w:t>（3028.35亩），</w:t>
      </w:r>
      <w:r>
        <w:rPr>
          <w:rFonts w:hint="eastAsia" w:ascii="Times New Roman" w:hAnsi="Times New Roman" w:cs="Times New Roman"/>
          <w:szCs w:val="30"/>
          <w:lang w:val="en-US" w:eastAsia="zh-CN"/>
        </w:rPr>
        <w:t>占全域面积的0.87%</w:t>
      </w:r>
      <w:r>
        <w:rPr>
          <w:rFonts w:hint="eastAsia" w:ascii="Times New Roman" w:hAnsi="Times New Roman" w:cs="Times New Roman"/>
          <w:szCs w:val="30"/>
          <w:lang w:eastAsia="zh-CN"/>
        </w:rPr>
        <w:t>；</w:t>
      </w:r>
      <w:r>
        <w:rPr>
          <w:rFonts w:hint="eastAsia" w:ascii="Times New Roman" w:hAnsi="Times New Roman" w:cs="Times New Roman"/>
          <w:szCs w:val="30"/>
        </w:rPr>
        <w:t>永久基本农田</w:t>
      </w:r>
      <w:r>
        <w:rPr>
          <w:rFonts w:hint="eastAsia" w:ascii="Times New Roman" w:hAnsi="Times New Roman" w:cs="Times New Roman"/>
          <w:szCs w:val="30"/>
          <w:lang w:val="en-US" w:eastAsia="zh-CN"/>
        </w:rPr>
        <w:t>保护</w:t>
      </w:r>
      <w:r>
        <w:rPr>
          <w:rFonts w:hint="eastAsia" w:ascii="Times New Roman" w:hAnsi="Times New Roman" w:cs="Times New Roman"/>
          <w:szCs w:val="30"/>
        </w:rPr>
        <w:t>面积为160.33公顷</w:t>
      </w:r>
      <w:r>
        <w:rPr>
          <w:rFonts w:hint="eastAsia" w:ascii="Times New Roman" w:hAnsi="Times New Roman" w:cs="Times New Roman"/>
          <w:szCs w:val="30"/>
          <w:lang w:eastAsia="zh-CN"/>
        </w:rPr>
        <w:t>（2404.95亩），</w:t>
      </w:r>
      <w:r>
        <w:rPr>
          <w:rFonts w:hint="eastAsia" w:ascii="Times New Roman" w:hAnsi="Times New Roman" w:cs="Times New Roman"/>
          <w:szCs w:val="30"/>
          <w:lang w:val="en-US" w:eastAsia="zh-CN"/>
        </w:rPr>
        <w:t>占全域面积的0.69%，主要分布在草凉驿村、白家店村和永生村</w:t>
      </w:r>
      <w:r>
        <w:rPr>
          <w:rFonts w:hint="eastAsia" w:ascii="Times New Roman" w:hAnsi="Times New Roman" w:cs="Times New Roman"/>
          <w:szCs w:val="30"/>
        </w:rPr>
        <w:t>。</w:t>
      </w:r>
    </w:p>
    <w:p w14:paraId="664907A7">
      <w:pPr>
        <w:pStyle w:val="74"/>
        <w:ind w:firstLine="600"/>
        <w:rPr>
          <w:rFonts w:cs="Times New Roman"/>
        </w:rPr>
      </w:pPr>
      <w:r>
        <w:rPr>
          <w:rFonts w:hint="eastAsia" w:cs="Times New Roman"/>
          <w:b/>
          <w:bCs/>
        </w:rPr>
        <w:t>严格控制非农业建设占用耕地。</w:t>
      </w:r>
      <w:r>
        <w:rPr>
          <w:rFonts w:hint="eastAsia" w:cs="Times New Roman"/>
        </w:rPr>
        <w:t>按照不占或少占耕地、促进节约集约用地的原则，强化对城乡各类建设占用耕地的控制和引导。通过严格的供地政策，制定项目用地控制指标、严格市场准入条件等措施，从源头上减少非农业建设对耕地的占用，加强建设项目选址和用地的评价和论证，建设项目选址必须把减少占用耕地作为比选的重要因素。</w:t>
      </w:r>
    </w:p>
    <w:p w14:paraId="26080CF7">
      <w:pPr>
        <w:pStyle w:val="74"/>
        <w:ind w:firstLine="600"/>
        <w:rPr>
          <w:rFonts w:cs="Times New Roman"/>
        </w:rPr>
      </w:pPr>
      <w:r>
        <w:rPr>
          <w:rFonts w:hint="eastAsia" w:cs="Times New Roman"/>
          <w:b/>
          <w:bCs/>
        </w:rPr>
        <w:t>切实执行耕地占补平衡制度。</w:t>
      </w:r>
      <w:r>
        <w:rPr>
          <w:rFonts w:hint="eastAsia" w:cs="Times New Roman"/>
        </w:rPr>
        <w:t>严格落实“先补后占</w:t>
      </w:r>
      <w:r>
        <w:rPr>
          <w:rFonts w:hint="eastAsia" w:cs="Times New Roman"/>
          <w:lang w:eastAsia="zh-CN"/>
        </w:rPr>
        <w:t>”“</w:t>
      </w:r>
      <w:r>
        <w:rPr>
          <w:rFonts w:hint="eastAsia" w:cs="Times New Roman"/>
        </w:rPr>
        <w:t>占优补优、占水田补水田”要求，优先开垦本行政区域内耕地后备资源，积极开展土地综合整治，增加耕地面积，落实耕地占补平衡。坚持绿色发展理念，转变补充耕地方式，严格控制成片未利用地开发，因地制宜，合理确定土地整治重点区域，明确新增耕地和产能来源。因非农建设占用耕地数量较大，无法在行政范围内实现占补平衡的，通过购买耕地储备指标落实耕地占补平衡。</w:t>
      </w:r>
    </w:p>
    <w:p w14:paraId="13AC2928">
      <w:pPr>
        <w:pStyle w:val="74"/>
        <w:ind w:firstLine="600"/>
        <w:rPr>
          <w:rFonts w:hint="eastAsia" w:cs="Times New Roman"/>
        </w:rPr>
      </w:pPr>
      <w:r>
        <w:rPr>
          <w:rFonts w:hint="eastAsia" w:cs="Times New Roman"/>
          <w:b/>
          <w:bCs/>
        </w:rPr>
        <w:t>严格控制非农建设占用</w:t>
      </w:r>
      <w:r>
        <w:rPr>
          <w:rFonts w:hint="eastAsia" w:cs="Times New Roman"/>
          <w:b/>
          <w:bCs/>
          <w:lang w:val="en-US" w:eastAsia="zh-CN"/>
        </w:rPr>
        <w:t>永久基本农田</w:t>
      </w:r>
      <w:r>
        <w:rPr>
          <w:rFonts w:hint="eastAsia" w:cs="Times New Roman"/>
          <w:b/>
          <w:bCs/>
        </w:rPr>
        <w:t>。</w:t>
      </w:r>
      <w:r>
        <w:rPr>
          <w:rFonts w:hint="eastAsia" w:cs="Times New Roman"/>
        </w:rPr>
        <w:t>加强永久基本农田对各类建设用地布局的约束，严格控制非农建设占用。永久基本农田一经划定，任何单位和个人不得擅自占用或者改变用途，重大建设项目选址确实难以避让永久基本农田的，必须执行严格论证。禁止任何单位和个人在基本农田保护区内建窑、建房、建坟、挖砂、采石、采矿、取土、堆放固体废弃物或者进行其他破坏基本农田的活动。禁止任何单位和个人占用基本农田发展林果业和挖塘养鱼。严格规范永久基本农田上农业生产活动，禁止种植破坏耕作层作物，禁止擅自闲置、撂荒永久基本农田。</w:t>
      </w:r>
    </w:p>
    <w:p w14:paraId="3292EEA4">
      <w:pPr>
        <w:pStyle w:val="5"/>
        <w:widowControl w:val="0"/>
        <w:numPr>
          <w:ilvl w:val="0"/>
          <w:numId w:val="0"/>
        </w:numPr>
        <w:tabs>
          <w:tab w:val="left" w:pos="420"/>
        </w:tabs>
        <w:spacing w:beforeAutospacing="1" w:line="240" w:lineRule="auto"/>
        <w:ind w:left="1424" w:leftChars="0" w:hanging="720" w:firstLineChars="0"/>
        <w:rPr>
          <w:rFonts w:hint="eastAsia" w:ascii="仿宋_GB2312" w:hAnsi="仿宋" w:cs="Times New Roman"/>
          <w:szCs w:val="30"/>
        </w:rPr>
      </w:pPr>
      <w:r>
        <w:rPr>
          <w:rFonts w:hint="default" w:ascii="仿宋_GB2312" w:hAnsi="仿宋" w:eastAsia="仿宋_GB2312" w:cs="Times New Roman"/>
          <w:b/>
          <w:bCs/>
          <w:kern w:val="2"/>
          <w:sz w:val="30"/>
          <w:szCs w:val="30"/>
          <w:lang w:val="en-US" w:eastAsia="zh-CN" w:bidi="ar-SA"/>
        </w:rPr>
        <w:t>二、</w:t>
      </w:r>
      <w:r>
        <w:rPr>
          <w:rFonts w:hint="eastAsia" w:ascii="仿宋_GB2312" w:hAnsi="仿宋" w:cs="Times New Roman"/>
          <w:szCs w:val="30"/>
        </w:rPr>
        <w:t>生态保护红线</w:t>
      </w:r>
    </w:p>
    <w:p w14:paraId="750C9EDF">
      <w:pPr>
        <w:rPr>
          <w:rFonts w:ascii="Times New Roman" w:hAnsi="Times New Roman" w:cs="Times New Roman"/>
          <w:szCs w:val="30"/>
        </w:rPr>
      </w:pPr>
      <w:r>
        <w:rPr>
          <w:rFonts w:hint="eastAsia" w:ascii="Times New Roman" w:hAnsi="Times New Roman" w:cs="Times New Roman"/>
          <w:szCs w:val="30"/>
        </w:rPr>
        <w:t>落实上位规划生态保护红线划定成果，红花铺镇划定生态保护红线面积为12345.99公顷</w:t>
      </w:r>
      <w:r>
        <w:rPr>
          <w:rFonts w:hint="eastAsia" w:ascii="Times New Roman" w:hAnsi="Times New Roman" w:cs="Times New Roman"/>
          <w:szCs w:val="30"/>
          <w:lang w:eastAsia="zh-CN"/>
        </w:rPr>
        <w:t>（18</w:t>
      </w:r>
      <w:r>
        <w:rPr>
          <w:rFonts w:hint="eastAsia" w:ascii="Times New Roman" w:hAnsi="Times New Roman" w:cs="Times New Roman"/>
          <w:szCs w:val="30"/>
          <w:lang w:val="en-US" w:eastAsia="zh-CN"/>
        </w:rPr>
        <w:t>.</w:t>
      </w:r>
      <w:r>
        <w:rPr>
          <w:rFonts w:hint="eastAsia" w:ascii="Times New Roman" w:hAnsi="Times New Roman" w:cs="Times New Roman"/>
          <w:szCs w:val="30"/>
          <w:lang w:eastAsia="zh-CN"/>
        </w:rPr>
        <w:t>5</w:t>
      </w:r>
      <w:r>
        <w:rPr>
          <w:rFonts w:hint="eastAsia" w:ascii="Times New Roman" w:hAnsi="Times New Roman" w:cs="Times New Roman"/>
          <w:szCs w:val="30"/>
          <w:lang w:val="en-US" w:eastAsia="zh-CN"/>
        </w:rPr>
        <w:t>2万</w:t>
      </w:r>
      <w:r>
        <w:rPr>
          <w:rFonts w:hint="eastAsia" w:ascii="Times New Roman" w:hAnsi="Times New Roman" w:cs="Times New Roman"/>
          <w:szCs w:val="30"/>
          <w:lang w:eastAsia="zh-CN"/>
        </w:rPr>
        <w:t>亩）</w:t>
      </w:r>
      <w:r>
        <w:rPr>
          <w:rFonts w:hint="eastAsia" w:ascii="Times New Roman" w:hAnsi="Times New Roman" w:cs="Times New Roman"/>
          <w:szCs w:val="30"/>
        </w:rPr>
        <w:t>，占镇域面积53.46%，主要分布在草凉驿村、红花铺村、白家</w:t>
      </w:r>
      <w:r>
        <w:rPr>
          <w:rFonts w:hint="eastAsia" w:ascii="Times New Roman" w:hAnsi="Times New Roman" w:cs="Times New Roman"/>
          <w:szCs w:val="30"/>
          <w:lang w:eastAsia="zh-CN"/>
        </w:rPr>
        <w:t>店</w:t>
      </w:r>
      <w:r>
        <w:rPr>
          <w:rFonts w:hint="eastAsia" w:ascii="Times New Roman" w:hAnsi="Times New Roman" w:cs="Times New Roman"/>
          <w:szCs w:val="30"/>
        </w:rPr>
        <w:t>村、永生村</w:t>
      </w:r>
      <w:r>
        <w:rPr>
          <w:rFonts w:ascii="Times New Roman" w:hAnsi="Times New Roman" w:cs="Times New Roman"/>
          <w:szCs w:val="30"/>
        </w:rPr>
        <w:t>。</w:t>
      </w:r>
    </w:p>
    <w:p w14:paraId="7E9AC450">
      <w:pPr>
        <w:rPr>
          <w:rFonts w:hint="eastAsia"/>
          <w:lang w:val="en-US" w:eastAsia="zh-CN"/>
        </w:rPr>
      </w:pPr>
      <w:r>
        <w:rPr>
          <w:rFonts w:hint="eastAsia"/>
          <w:lang w:val="en-US" w:eastAsia="zh-CN"/>
        </w:rPr>
        <w:t>生态保护红线内自然保护地核心区原则上禁止人为活动，自然保护地核心保护区外禁止开发性、生产性建设活动，在符合法律法规的前提下，仅允许对生态功能不造成破坏的有限人为活动。自然保护区、风景名胜区、饮用水水源保护区等区域管控，依照相关法律法规执行。加强有限人为活动管理，有序处理历史遗留问题，进一步增强涵养水源、水土保持、防风固沙、生物多样性等生态服务功能。各村实用性村庄规划应严格落实划定的生态保护红线，确保规模与布局稳定。</w:t>
      </w:r>
    </w:p>
    <w:p w14:paraId="6A2389A8">
      <w:pPr>
        <w:rPr>
          <w:rFonts w:hint="eastAsia"/>
          <w:lang w:val="en-US" w:eastAsia="zh-CN"/>
        </w:rPr>
      </w:pPr>
    </w:p>
    <w:p w14:paraId="70CC69D7">
      <w:pPr>
        <w:outlineLvl w:val="2"/>
        <w:rPr>
          <w:rFonts w:hint="eastAsia" w:ascii="仿宋_GB2312" w:hAnsi="仿宋" w:cs="Times New Roman"/>
          <w:b/>
          <w:bCs/>
          <w:szCs w:val="30"/>
        </w:rPr>
      </w:pPr>
      <w:r>
        <w:rPr>
          <w:rFonts w:hint="eastAsia" w:ascii="仿宋_GB2312" w:hAnsi="仿宋" w:cs="Times New Roman"/>
          <w:b/>
          <w:bCs/>
          <w:szCs w:val="30"/>
          <w:lang w:val="en-US" w:eastAsia="zh-CN"/>
        </w:rPr>
        <w:t>三、</w:t>
      </w:r>
      <w:r>
        <w:rPr>
          <w:rFonts w:hint="eastAsia" w:ascii="仿宋_GB2312" w:hAnsi="仿宋" w:cs="Times New Roman"/>
          <w:b/>
          <w:bCs/>
          <w:szCs w:val="30"/>
        </w:rPr>
        <w:t>城镇开发边界</w:t>
      </w:r>
    </w:p>
    <w:p w14:paraId="608705B9">
      <w:pPr>
        <w:ind w:firstLine="600"/>
        <w:rPr>
          <w:rFonts w:ascii="Times New Roman" w:hAnsi="Times New Roman" w:cs="Times New Roman"/>
          <w:szCs w:val="30"/>
        </w:rPr>
      </w:pPr>
      <w:r>
        <w:rPr>
          <w:rFonts w:hint="eastAsia" w:ascii="Times New Roman" w:hAnsi="Times New Roman" w:cs="Times New Roman"/>
          <w:szCs w:val="30"/>
        </w:rPr>
        <w:t>落实上位规划划定的城镇开发边界，到2035年，红花铺镇划定城镇开发边界规模13.8</w:t>
      </w:r>
      <w:r>
        <w:rPr>
          <w:rFonts w:hint="eastAsia" w:ascii="Times New Roman" w:hAnsi="Times New Roman" w:cs="Times New Roman"/>
          <w:szCs w:val="30"/>
          <w:lang w:val="en-US" w:eastAsia="zh-CN"/>
        </w:rPr>
        <w:t>1</w:t>
      </w:r>
      <w:r>
        <w:rPr>
          <w:rFonts w:hint="eastAsia" w:ascii="Times New Roman" w:hAnsi="Times New Roman" w:cs="Times New Roman"/>
          <w:szCs w:val="30"/>
        </w:rPr>
        <w:t>公顷</w:t>
      </w:r>
      <w:r>
        <w:rPr>
          <w:rFonts w:hint="eastAsia" w:ascii="Times New Roman" w:hAnsi="Times New Roman" w:cs="Times New Roman"/>
          <w:szCs w:val="30"/>
          <w:lang w:eastAsia="zh-CN"/>
        </w:rPr>
        <w:t>（207.15亩）</w:t>
      </w:r>
      <w:r>
        <w:rPr>
          <w:rFonts w:hint="eastAsia" w:ascii="Times New Roman" w:hAnsi="Times New Roman" w:cs="Times New Roman"/>
          <w:szCs w:val="30"/>
        </w:rPr>
        <w:t>，占镇域面积0.06%，主要为红花铺</w:t>
      </w:r>
      <w:r>
        <w:rPr>
          <w:rFonts w:hint="eastAsia" w:ascii="Times New Roman" w:hAnsi="Times New Roman" w:cs="Times New Roman"/>
          <w:szCs w:val="30"/>
          <w:lang w:eastAsia="zh-CN"/>
        </w:rPr>
        <w:t>镇镇区范围</w:t>
      </w:r>
      <w:r>
        <w:rPr>
          <w:rFonts w:hint="eastAsia" w:ascii="Times New Roman" w:hAnsi="Times New Roman" w:cs="Times New Roman"/>
          <w:szCs w:val="30"/>
        </w:rPr>
        <w:t>内建设用地集中连片的区域</w:t>
      </w:r>
      <w:r>
        <w:rPr>
          <w:rFonts w:ascii="Times New Roman" w:hAnsi="Times New Roman" w:cs="Times New Roman"/>
          <w:szCs w:val="30"/>
        </w:rPr>
        <w:t>。</w:t>
      </w:r>
    </w:p>
    <w:p w14:paraId="0EF10A89">
      <w:pPr>
        <w:pStyle w:val="74"/>
        <w:ind w:firstLine="600"/>
        <w:rPr>
          <w:rFonts w:cs="Times New Roman"/>
        </w:rPr>
      </w:pPr>
      <w:bookmarkStart w:id="35" w:name="_Hlk127367355"/>
      <w:r>
        <w:rPr>
          <w:rFonts w:hint="eastAsia"/>
          <w:lang w:val="en-US" w:eastAsia="zh-CN"/>
        </w:rPr>
        <w:t>深化城镇开发边界内规划用地安排，细化功能分区和用地布局，统筹存量用地和增量用地、地上空间和地下空间，合理安排城镇建设用地规模、结构、布局和时序，使城镇开发边界划定成果精准落地实施。</w:t>
      </w:r>
      <w:r>
        <w:rPr>
          <w:rFonts w:hint="eastAsia" w:cs="Times New Roman"/>
        </w:rPr>
        <w:t>城镇开发边界采用“详细规划+规划许可”的方式进行管理，对城镇建设用地的总体和单项指标严格管控，实施规划用途管制与开发许可制度。同时，加强城市绿线、城市蓝线、城市黄线、城市紫线的协同管控，通过划定“四线”及其管理办法实现对城镇核心要素的控制</w:t>
      </w:r>
      <w:bookmarkEnd w:id="35"/>
      <w:r>
        <w:rPr>
          <w:rFonts w:hint="eastAsia" w:cs="Times New Roman"/>
        </w:rPr>
        <w:t>。</w:t>
      </w:r>
    </w:p>
    <w:p w14:paraId="2027FF60">
      <w:pPr>
        <w:pStyle w:val="2"/>
      </w:pPr>
    </w:p>
    <w:p w14:paraId="66151F5C">
      <w:pPr>
        <w:pStyle w:val="4"/>
        <w:spacing w:before="204" w:after="81"/>
        <w:ind w:firstLine="0" w:firstLineChars="0"/>
        <w:rPr>
          <w:rFonts w:ascii="Times New Roman" w:hAnsi="Times New Roman" w:cs="Times New Roman"/>
        </w:rPr>
      </w:pPr>
      <w:bookmarkStart w:id="36" w:name="_Toc11967"/>
      <w:bookmarkStart w:id="37" w:name="_Toc26171"/>
      <w:r>
        <w:rPr>
          <w:rFonts w:hint="eastAsia" w:ascii="Times New Roman" w:hAnsi="Times New Roman" w:cs="Times New Roman"/>
        </w:rPr>
        <w:t xml:space="preserve">第二节 </w:t>
      </w:r>
      <w:r>
        <w:rPr>
          <w:rFonts w:hint="eastAsia" w:ascii="Times New Roman" w:hAnsi="Times New Roman" w:cs="Times New Roman"/>
          <w:lang w:val="en-US" w:eastAsia="zh-CN"/>
        </w:rPr>
        <w:t>其他控制线落实与</w:t>
      </w:r>
      <w:r>
        <w:rPr>
          <w:rFonts w:hint="eastAsia" w:ascii="Times New Roman" w:hAnsi="Times New Roman" w:cs="Times New Roman"/>
        </w:rPr>
        <w:t>划定</w:t>
      </w:r>
      <w:bookmarkEnd w:id="36"/>
      <w:bookmarkEnd w:id="37"/>
    </w:p>
    <w:p w14:paraId="479C6618">
      <w:pPr>
        <w:pStyle w:val="5"/>
        <w:widowControl w:val="0"/>
        <w:numPr>
          <w:ilvl w:val="0"/>
          <w:numId w:val="0"/>
        </w:numPr>
        <w:tabs>
          <w:tab w:val="left" w:pos="420"/>
        </w:tabs>
        <w:spacing w:beforeAutospacing="1" w:line="240" w:lineRule="auto"/>
        <w:ind w:left="1424" w:leftChars="0" w:hanging="720" w:firstLineChars="0"/>
        <w:rPr>
          <w:rFonts w:hint="eastAsia" w:ascii="仿宋_GB2312" w:hAnsi="仿宋" w:cs="Times New Roman"/>
          <w:szCs w:val="30"/>
        </w:rPr>
      </w:pPr>
      <w:r>
        <w:rPr>
          <w:rFonts w:hint="default" w:ascii="仿宋_GB2312" w:hAnsi="仿宋" w:eastAsia="仿宋_GB2312" w:cs="Times New Roman"/>
          <w:b/>
          <w:bCs/>
          <w:kern w:val="2"/>
          <w:sz w:val="30"/>
          <w:szCs w:val="30"/>
          <w:lang w:val="en-US" w:eastAsia="zh-CN" w:bidi="ar-SA"/>
        </w:rPr>
        <w:t>一、</w:t>
      </w:r>
      <w:r>
        <w:rPr>
          <w:rFonts w:hint="eastAsia" w:ascii="仿宋_GB2312" w:hAnsi="仿宋" w:cs="Times New Roman"/>
          <w:szCs w:val="30"/>
          <w:lang w:eastAsia="zh-CN"/>
        </w:rPr>
        <w:t>历史文化</w:t>
      </w:r>
      <w:r>
        <w:rPr>
          <w:rFonts w:hint="eastAsia" w:ascii="仿宋_GB2312" w:hAnsi="仿宋" w:cs="Times New Roman"/>
          <w:szCs w:val="30"/>
        </w:rPr>
        <w:t>保护</w:t>
      </w:r>
      <w:r>
        <w:rPr>
          <w:rFonts w:hint="eastAsia" w:ascii="仿宋_GB2312" w:hAnsi="仿宋" w:cs="Times New Roman"/>
          <w:szCs w:val="30"/>
          <w:lang w:eastAsia="zh-CN"/>
        </w:rPr>
        <w:t>线</w:t>
      </w:r>
    </w:p>
    <w:p w14:paraId="0573A4AA">
      <w:pPr>
        <w:ind w:firstLine="600"/>
        <w:rPr>
          <w:rFonts w:hint="eastAsia" w:ascii="Times New Roman" w:hAnsi="Times New Roman" w:cs="Times New Roman"/>
          <w:szCs w:val="30"/>
          <w:lang w:eastAsia="zh-CN"/>
        </w:rPr>
      </w:pPr>
      <w:r>
        <w:rPr>
          <w:rFonts w:hint="eastAsia" w:ascii="Times New Roman" w:hAnsi="Times New Roman" w:cs="Times New Roman"/>
          <w:szCs w:val="30"/>
          <w:lang w:eastAsia="zh-CN"/>
        </w:rPr>
        <w:t>红花铺镇落实上位规划确定的文物保护单位保护范围和建设控制地带，有一处省级文保单位——天台寺关帝殿，位于红花铺村西北侧，面积为2.23公顷。</w:t>
      </w:r>
    </w:p>
    <w:p w14:paraId="24C29320">
      <w:pPr>
        <w:pStyle w:val="74"/>
        <w:ind w:firstLine="600"/>
      </w:pPr>
      <w:r>
        <w:rPr>
          <w:rFonts w:hint="eastAsia"/>
        </w:rPr>
        <w:t>历史文化保护范围内，禁止任何与文物保护无关的建设行为；禁止进行爆破、钻探等破坏文物的行为；建筑不得超高、体量不得过大，不得改变历史建筑原有结构等要求；在建设控制地带范围内，不得有影响周边环境和历史风貌的行为。</w:t>
      </w:r>
      <w:r>
        <w:t>因特殊情况需要在文物保护单位的保护范围内进行其他建设工程或者爆破、钻探、挖掘等作业的，必须保证文物保护单位的安全，必须经省人民政府批准，在批准前应当征得国务院文物行政部门同意。保护工程和展示工程应遵循不改变文物原状和最小干预原则。保护、管理、展示等工程不得影响遗址历史环境风貌和文物的真实性、完整性，并按要求履行报批手续。展示设施及宣传标识的设计和安装位置等，应与整体环境风貌相协调。</w:t>
      </w:r>
    </w:p>
    <w:p w14:paraId="3665073B">
      <w:pPr>
        <w:pStyle w:val="5"/>
        <w:widowControl w:val="0"/>
        <w:numPr>
          <w:ilvl w:val="0"/>
          <w:numId w:val="2"/>
        </w:numPr>
        <w:tabs>
          <w:tab w:val="left" w:pos="420"/>
        </w:tabs>
        <w:spacing w:beforeAutospacing="1" w:line="360" w:lineRule="auto"/>
        <w:ind w:left="102" w:leftChars="0" w:firstLine="602" w:firstLineChars="200"/>
        <w:rPr>
          <w:rFonts w:hint="eastAsia"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秦岭保护范围</w:t>
      </w:r>
    </w:p>
    <w:p w14:paraId="2DF1E78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s="Times New Roman"/>
          <w:kern w:val="2"/>
          <w:sz w:val="30"/>
          <w:szCs w:val="28"/>
          <w:lang w:val="en-US" w:eastAsia="zh-CN" w:bidi="ar-SA"/>
        </w:rPr>
      </w:pPr>
      <w:r>
        <w:rPr>
          <w:rFonts w:ascii="Times New Roman" w:hAnsi="Times New Roman" w:eastAsia="仿宋_GB2312" w:cs="Times New Roman"/>
          <w:kern w:val="2"/>
          <w:sz w:val="30"/>
          <w:szCs w:val="28"/>
          <w:lang w:val="en-US" w:eastAsia="zh-CN" w:bidi="ar-SA"/>
        </w:rPr>
        <w:t>红花铺镇全域位于秦岭保护范围，是区域生态协同保护的重点区域。其中核心保护区面积254.76公顷，占镇域总面积的1.10%；重点保护区面积14862.40公顷，占镇域总面积的64.36%；一般保护区面积7976公顷，占镇域总面积的34.54%。</w:t>
      </w:r>
    </w:p>
    <w:p w14:paraId="6D74A897">
      <w:pPr>
        <w:pStyle w:val="5"/>
        <w:widowControl w:val="0"/>
        <w:numPr>
          <w:ilvl w:val="0"/>
          <w:numId w:val="0"/>
        </w:numPr>
        <w:tabs>
          <w:tab w:val="left" w:pos="420"/>
        </w:tabs>
        <w:spacing w:beforeAutospacing="1" w:line="240" w:lineRule="auto"/>
        <w:ind w:left="1424" w:leftChars="0" w:hanging="720" w:firstLineChars="0"/>
        <w:rPr>
          <w:rFonts w:hint="default" w:ascii="仿宋_GB2312" w:hAnsi="仿宋" w:cs="Times New Roman"/>
          <w:szCs w:val="30"/>
          <w:lang w:val="en-US" w:eastAsia="zh-CN"/>
        </w:rPr>
      </w:pPr>
      <w:r>
        <w:rPr>
          <w:rFonts w:hint="eastAsia" w:ascii="仿宋_GB2312" w:hAnsi="仿宋" w:cs="Times New Roman"/>
          <w:b/>
          <w:bCs/>
          <w:kern w:val="2"/>
          <w:sz w:val="30"/>
          <w:szCs w:val="30"/>
          <w:lang w:val="en-US" w:eastAsia="zh-CN" w:bidi="ar-SA"/>
        </w:rPr>
        <w:t>三</w:t>
      </w:r>
      <w:r>
        <w:rPr>
          <w:rFonts w:hint="default" w:ascii="仿宋_GB2312" w:hAnsi="仿宋" w:eastAsia="仿宋_GB2312" w:cs="Times New Roman"/>
          <w:b/>
          <w:bCs/>
          <w:kern w:val="2"/>
          <w:sz w:val="30"/>
          <w:szCs w:val="30"/>
          <w:lang w:val="en-US" w:eastAsia="zh-CN" w:bidi="ar-SA"/>
        </w:rPr>
        <w:t>、</w:t>
      </w:r>
      <w:r>
        <w:rPr>
          <w:rFonts w:hint="eastAsia" w:ascii="仿宋_GB2312" w:hAnsi="仿宋" w:cs="Times New Roman"/>
          <w:szCs w:val="30"/>
          <w:lang w:val="en-US" w:eastAsia="zh-CN"/>
        </w:rPr>
        <w:t>村庄建设边界</w:t>
      </w:r>
    </w:p>
    <w:p w14:paraId="52FC40E5">
      <w:pPr>
        <w:ind w:firstLine="600"/>
        <w:rPr>
          <w:rFonts w:hint="eastAsia" w:ascii="仿宋_GB2312" w:hAnsi="仿宋" w:eastAsia="仿宋_GB2312" w:cs="Times New Roman"/>
          <w:szCs w:val="30"/>
          <w:lang w:eastAsia="zh-CN"/>
        </w:rPr>
      </w:pPr>
      <w:r>
        <w:rPr>
          <w:rFonts w:hint="eastAsia" w:ascii="Times New Roman" w:hAnsi="Times New Roman" w:cs="Times New Roman"/>
          <w:szCs w:val="30"/>
        </w:rPr>
        <w:t>在不与永久基本农田与生态保护红线冲突的前提下，结合建设用地总量、建设用地适宜性分析、村庄产业发展、公共服务设施配套等需求</w:t>
      </w:r>
      <w:r>
        <w:rPr>
          <w:rFonts w:hint="eastAsia" w:ascii="Times New Roman" w:hAnsi="Times New Roman" w:cs="Times New Roman"/>
          <w:szCs w:val="30"/>
          <w:lang w:eastAsia="zh-CN"/>
        </w:rPr>
        <w:t>。</w:t>
      </w:r>
      <w:r>
        <w:rPr>
          <w:rFonts w:hint="eastAsia" w:ascii="Times New Roman" w:hAnsi="Times New Roman" w:cs="Times New Roman"/>
          <w:color w:val="auto"/>
          <w:szCs w:val="30"/>
          <w:lang w:val="en-US" w:eastAsia="zh-CN"/>
        </w:rPr>
        <w:t>到2035年，</w:t>
      </w:r>
      <w:r>
        <w:rPr>
          <w:rFonts w:hint="eastAsia" w:ascii="Times New Roman" w:hAnsi="Times New Roman" w:cs="Times New Roman"/>
          <w:color w:val="auto"/>
          <w:szCs w:val="30"/>
        </w:rPr>
        <w:t>红花铺镇划定村庄建设边界规模60.9</w:t>
      </w:r>
      <w:r>
        <w:rPr>
          <w:rFonts w:hint="eastAsia" w:ascii="Times New Roman" w:hAnsi="Times New Roman" w:cs="Times New Roman"/>
          <w:color w:val="auto"/>
          <w:szCs w:val="30"/>
          <w:lang w:val="en-US" w:eastAsia="zh-CN"/>
        </w:rPr>
        <w:t>8</w:t>
      </w:r>
      <w:r>
        <w:rPr>
          <w:rFonts w:hint="eastAsia" w:ascii="Times New Roman" w:hAnsi="Times New Roman" w:cs="Times New Roman"/>
          <w:color w:val="auto"/>
          <w:szCs w:val="30"/>
        </w:rPr>
        <w:t>公顷，占镇域面积的0.26%</w:t>
      </w:r>
      <w:r>
        <w:rPr>
          <w:rFonts w:hint="eastAsia" w:ascii="Times New Roman" w:hAnsi="Times New Roman" w:cs="Times New Roman"/>
          <w:color w:val="auto"/>
          <w:szCs w:val="30"/>
          <w:lang w:eastAsia="zh-CN"/>
        </w:rPr>
        <w:t>，</w:t>
      </w:r>
      <w:r>
        <w:rPr>
          <w:rFonts w:hint="eastAsia" w:ascii="Times New Roman" w:hAnsi="Times New Roman" w:cs="Times New Roman"/>
          <w:color w:val="auto"/>
          <w:szCs w:val="30"/>
          <w:lang w:val="en-US" w:eastAsia="zh-CN"/>
        </w:rPr>
        <w:t>主要分布于各村村民集聚区及日常生产生活所需的服务区域。</w:t>
      </w:r>
    </w:p>
    <w:p w14:paraId="370FBA2C">
      <w:pPr>
        <w:pStyle w:val="74"/>
        <w:ind w:firstLine="600"/>
      </w:pPr>
      <w:r>
        <w:t>村庄建设边界准入农村宅基地、农村基础设施、公益事业设施和公共服务设施用地、人居环境整治项目用地、农产品加工仓储、电子商务、农家乐、民宿、创意办公、休闲农业、乡村旅游配套设施等农村生产、生活相关的用途。宅基地建设应依法落实“一户一宅”要求。原则上禁止大型工业园区、大型商业商务酒店开发等大规模城镇建设用途。</w:t>
      </w:r>
    </w:p>
    <w:p w14:paraId="6109C65E">
      <w:pPr>
        <w:pStyle w:val="2"/>
        <w:sectPr>
          <w:headerReference r:id="rId18" w:type="default"/>
          <w:pgSz w:w="11906" w:h="16838"/>
          <w:pgMar w:top="1701" w:right="1418" w:bottom="1531" w:left="1701" w:header="1134" w:footer="737" w:gutter="0"/>
          <w:cols w:space="425" w:num="1"/>
          <w:docGrid w:type="lines" w:linePitch="408" w:charSpace="0"/>
        </w:sectPr>
      </w:pPr>
    </w:p>
    <w:p w14:paraId="561B2AC3">
      <w:pPr>
        <w:pStyle w:val="3"/>
        <w:spacing w:before="204" w:after="81"/>
        <w:ind w:firstLine="0" w:firstLineChars="0"/>
        <w:rPr>
          <w:rFonts w:ascii="Times New Roman" w:hAnsi="Times New Roman" w:cs="Times New Roman"/>
          <w:b/>
          <w:bCs w:val="0"/>
        </w:rPr>
      </w:pPr>
      <w:bookmarkStart w:id="38" w:name="_Toc20380"/>
      <w:bookmarkStart w:id="39" w:name="_Toc24189"/>
      <w:r>
        <w:rPr>
          <w:rFonts w:hint="eastAsia" w:ascii="Times New Roman" w:hAnsi="Times New Roman" w:cs="Times New Roman"/>
          <w:b/>
          <w:bCs w:val="0"/>
          <w:lang w:val="en-US" w:eastAsia="zh-CN"/>
        </w:rPr>
        <w:t>第四章</w:t>
      </w:r>
      <w:r>
        <w:rPr>
          <w:rFonts w:ascii="Times New Roman" w:hAnsi="Times New Roman" w:cs="Times New Roman"/>
          <w:b/>
          <w:bCs w:val="0"/>
        </w:rPr>
        <w:t xml:space="preserve"> </w:t>
      </w:r>
      <w:r>
        <w:rPr>
          <w:rFonts w:hint="eastAsia" w:ascii="Times New Roman" w:hAnsi="Times New Roman" w:cs="Times New Roman"/>
          <w:b/>
          <w:bCs w:val="0"/>
          <w:lang w:val="en-US" w:eastAsia="zh-CN"/>
        </w:rPr>
        <w:t xml:space="preserve"> </w:t>
      </w:r>
      <w:r>
        <w:rPr>
          <w:rFonts w:hint="eastAsia" w:ascii="Times New Roman" w:hAnsi="Times New Roman" w:cs="Times New Roman"/>
          <w:b/>
          <w:bCs w:val="0"/>
        </w:rPr>
        <w:t>国土空间布局优化</w:t>
      </w:r>
      <w:bookmarkEnd w:id="38"/>
      <w:bookmarkEnd w:id="39"/>
    </w:p>
    <w:p w14:paraId="6136007E">
      <w:pPr>
        <w:pStyle w:val="4"/>
        <w:spacing w:before="204" w:after="81"/>
        <w:ind w:firstLine="0" w:firstLineChars="0"/>
        <w:rPr>
          <w:rFonts w:ascii="Times New Roman" w:hAnsi="Times New Roman" w:cs="Times New Roman"/>
          <w:szCs w:val="30"/>
        </w:rPr>
      </w:pPr>
      <w:bookmarkStart w:id="40" w:name="_Toc2704"/>
      <w:bookmarkStart w:id="41" w:name="_Toc7654"/>
      <w:r>
        <w:rPr>
          <w:rFonts w:ascii="Times New Roman" w:hAnsi="Times New Roman" w:cs="Times New Roman"/>
        </w:rPr>
        <w:t xml:space="preserve">第一节  </w:t>
      </w:r>
      <w:r>
        <w:rPr>
          <w:rFonts w:hint="eastAsia" w:ascii="Times New Roman" w:hAnsi="Times New Roman" w:cs="Times New Roman"/>
        </w:rPr>
        <w:t>总体格局</w:t>
      </w:r>
      <w:bookmarkEnd w:id="40"/>
      <w:bookmarkEnd w:id="41"/>
    </w:p>
    <w:p w14:paraId="21B80C3F">
      <w:pPr>
        <w:ind w:firstLine="600"/>
        <w:rPr>
          <w:rFonts w:ascii="Times New Roman" w:hAnsi="Times New Roman" w:cs="Times New Roman"/>
        </w:rPr>
      </w:pPr>
      <w:r>
        <w:rPr>
          <w:rFonts w:hint="eastAsia" w:ascii="Times New Roman" w:hAnsi="Times New Roman" w:cs="Times New Roman"/>
          <w:szCs w:val="30"/>
        </w:rPr>
        <w:t>以</w:t>
      </w:r>
      <w:r>
        <w:rPr>
          <w:rFonts w:hint="eastAsia" w:ascii="Times New Roman" w:hAnsi="Times New Roman" w:cs="Times New Roman"/>
          <w:szCs w:val="30"/>
          <w:lang w:eastAsia="zh-CN"/>
        </w:rPr>
        <w:t>红花铺镇</w:t>
      </w:r>
      <w:r>
        <w:rPr>
          <w:rFonts w:hint="eastAsia" w:ascii="Times New Roman" w:hAnsi="Times New Roman" w:cs="Times New Roman"/>
          <w:szCs w:val="30"/>
        </w:rPr>
        <w:t>自然资源禀赋、自然地理格局为基础，结合凤县“双评价”成果，落实生态、农业、历史文化等重要保护区域和廊道，构建“</w:t>
      </w:r>
      <w:r>
        <w:rPr>
          <w:rFonts w:hint="eastAsia" w:ascii="Times New Roman" w:hAnsi="Times New Roman" w:cs="Times New Roman"/>
          <w:szCs w:val="30"/>
          <w:lang w:eastAsia="zh-CN"/>
        </w:rPr>
        <w:t>一心、</w:t>
      </w:r>
      <w:r>
        <w:rPr>
          <w:rFonts w:hint="eastAsia" w:ascii="Times New Roman" w:hAnsi="Times New Roman" w:cs="Times New Roman"/>
          <w:szCs w:val="30"/>
        </w:rPr>
        <w:t>一廊、</w:t>
      </w:r>
      <w:r>
        <w:rPr>
          <w:rFonts w:hint="eastAsia" w:ascii="Times New Roman" w:hAnsi="Times New Roman" w:cs="Times New Roman"/>
          <w:szCs w:val="30"/>
          <w:lang w:eastAsia="zh-CN"/>
        </w:rPr>
        <w:t>两</w:t>
      </w:r>
      <w:r>
        <w:rPr>
          <w:rFonts w:hint="eastAsia" w:ascii="Times New Roman" w:hAnsi="Times New Roman" w:cs="Times New Roman"/>
          <w:szCs w:val="30"/>
        </w:rPr>
        <w:t>区”的国土空间开发保护总体格局</w:t>
      </w:r>
      <w:r>
        <w:rPr>
          <w:rFonts w:ascii="Times New Roman" w:hAnsi="Times New Roman" w:cs="Times New Roman"/>
          <w:szCs w:val="30"/>
        </w:rPr>
        <w:t>。</w:t>
      </w:r>
      <w:bookmarkEnd w:id="34"/>
    </w:p>
    <w:p w14:paraId="6614F1B3">
      <w:pPr>
        <w:ind w:firstLine="602"/>
        <w:rPr>
          <w:rFonts w:hint="eastAsia" w:ascii="Times New Roman" w:hAnsi="Times New Roman" w:eastAsia="仿宋_GB2312" w:cs="Times New Roman"/>
          <w:b/>
          <w:bCs/>
          <w:szCs w:val="30"/>
          <w:lang w:eastAsia="zh-CN"/>
        </w:rPr>
      </w:pPr>
      <w:r>
        <w:rPr>
          <w:rFonts w:hint="eastAsia" w:ascii="Times New Roman" w:hAnsi="Times New Roman" w:cs="Times New Roman"/>
          <w:b/>
          <w:bCs/>
          <w:szCs w:val="30"/>
        </w:rPr>
        <w:t>一</w:t>
      </w:r>
      <w:r>
        <w:rPr>
          <w:rFonts w:hint="eastAsia" w:ascii="Times New Roman" w:hAnsi="Times New Roman" w:cs="Times New Roman"/>
          <w:b/>
          <w:bCs/>
          <w:szCs w:val="30"/>
          <w:lang w:eastAsia="zh-CN"/>
        </w:rPr>
        <w:t>心</w:t>
      </w:r>
      <w:r>
        <w:rPr>
          <w:rFonts w:hint="eastAsia" w:ascii="Times New Roman" w:hAnsi="Times New Roman" w:cs="Times New Roman"/>
          <w:szCs w:val="30"/>
        </w:rPr>
        <w:t>：</w:t>
      </w:r>
      <w:r>
        <w:rPr>
          <w:rFonts w:hint="eastAsia" w:ascii="Times New Roman" w:hAnsi="Times New Roman" w:cs="Times New Roman"/>
          <w:szCs w:val="30"/>
          <w:lang w:val="en-US" w:eastAsia="zh-CN"/>
        </w:rPr>
        <w:t>镇域发展核心。</w:t>
      </w:r>
      <w:r>
        <w:rPr>
          <w:rFonts w:hint="eastAsia" w:ascii="Times New Roman" w:hAnsi="Times New Roman" w:cs="Times New Roman"/>
          <w:szCs w:val="30"/>
          <w:lang w:eastAsia="zh-CN"/>
        </w:rPr>
        <w:t>红花铺</w:t>
      </w:r>
      <w:r>
        <w:rPr>
          <w:rFonts w:hint="eastAsia" w:ascii="Times New Roman" w:hAnsi="Times New Roman" w:cs="Times New Roman"/>
          <w:szCs w:val="30"/>
        </w:rPr>
        <w:t>镇区为镇域发展核心</w:t>
      </w:r>
      <w:r>
        <w:rPr>
          <w:rFonts w:hint="eastAsia" w:ascii="Times New Roman" w:hAnsi="Times New Roman" w:cs="Times New Roman"/>
          <w:szCs w:val="30"/>
          <w:lang w:eastAsia="zh-CN"/>
        </w:rPr>
        <w:t>，统筹全域发展。</w:t>
      </w:r>
    </w:p>
    <w:p w14:paraId="7EAB83BC">
      <w:pPr>
        <w:ind w:firstLine="602"/>
        <w:rPr>
          <w:rFonts w:hint="default" w:ascii="Times New Roman" w:hAnsi="Times New Roman" w:eastAsia="仿宋_GB2312" w:cs="Times New Roman"/>
          <w:szCs w:val="30"/>
          <w:lang w:val="en-US" w:eastAsia="zh-CN"/>
        </w:rPr>
      </w:pPr>
      <w:r>
        <w:rPr>
          <w:rFonts w:hint="eastAsia" w:ascii="Times New Roman" w:hAnsi="Times New Roman" w:cs="Times New Roman"/>
          <w:b/>
          <w:bCs/>
          <w:szCs w:val="30"/>
          <w:lang w:eastAsia="zh-CN"/>
        </w:rPr>
        <w:t>一</w:t>
      </w:r>
      <w:r>
        <w:rPr>
          <w:rFonts w:hint="eastAsia" w:ascii="Times New Roman" w:hAnsi="Times New Roman" w:cs="Times New Roman"/>
          <w:b/>
          <w:bCs/>
          <w:szCs w:val="30"/>
        </w:rPr>
        <w:t>廊</w:t>
      </w:r>
      <w:r>
        <w:rPr>
          <w:rFonts w:hint="eastAsia" w:ascii="Times New Roman" w:hAnsi="Times New Roman" w:cs="Times New Roman"/>
          <w:szCs w:val="30"/>
        </w:rPr>
        <w:t>：</w:t>
      </w:r>
      <w:r>
        <w:rPr>
          <w:rFonts w:hint="eastAsia" w:ascii="Times New Roman" w:hAnsi="Times New Roman" w:cs="Times New Roman"/>
          <w:szCs w:val="30"/>
          <w:lang w:val="en-US" w:eastAsia="zh-CN"/>
        </w:rPr>
        <w:t>嘉陵江流域生态廊道。</w:t>
      </w:r>
      <w:r>
        <w:rPr>
          <w:rFonts w:hint="eastAsia" w:ascii="Times New Roman" w:hAnsi="Times New Roman" w:cs="Times New Roman"/>
          <w:szCs w:val="30"/>
        </w:rPr>
        <w:t>以嘉陵江及其周边自然沟壑形成河流生态廊道</w:t>
      </w:r>
      <w:r>
        <w:rPr>
          <w:rFonts w:hint="eastAsia" w:ascii="Times New Roman" w:hAnsi="Times New Roman" w:cs="Times New Roman"/>
          <w:szCs w:val="30"/>
          <w:lang w:eastAsia="zh-CN"/>
        </w:rPr>
        <w:t>，</w:t>
      </w:r>
      <w:r>
        <w:rPr>
          <w:rFonts w:hint="eastAsia" w:ascii="Times New Roman" w:hAnsi="Times New Roman" w:cs="Times New Roman"/>
          <w:szCs w:val="30"/>
          <w:lang w:val="en-US" w:eastAsia="zh-CN"/>
        </w:rPr>
        <w:t>加强嘉陵江流域综合治理，提升嘉陵江沿岸生态环境质量。</w:t>
      </w:r>
    </w:p>
    <w:p w14:paraId="371C9013">
      <w:pPr>
        <w:ind w:firstLine="602"/>
        <w:rPr>
          <w:rFonts w:hint="eastAsia" w:ascii="Times New Roman" w:hAnsi="Times New Roman" w:cs="Times New Roman"/>
          <w:szCs w:val="30"/>
        </w:rPr>
      </w:pPr>
      <w:r>
        <w:rPr>
          <w:rFonts w:hint="eastAsia" w:ascii="Times New Roman" w:hAnsi="Times New Roman" w:cs="Times New Roman"/>
          <w:b/>
          <w:bCs/>
          <w:szCs w:val="30"/>
          <w:lang w:eastAsia="zh-CN"/>
        </w:rPr>
        <w:t>两</w:t>
      </w:r>
      <w:r>
        <w:rPr>
          <w:rFonts w:hint="eastAsia" w:ascii="Times New Roman" w:hAnsi="Times New Roman" w:cs="Times New Roman"/>
          <w:b/>
          <w:bCs/>
          <w:szCs w:val="30"/>
        </w:rPr>
        <w:t>区</w:t>
      </w:r>
      <w:r>
        <w:rPr>
          <w:rFonts w:hint="eastAsia" w:ascii="Times New Roman" w:hAnsi="Times New Roman" w:cs="Times New Roman"/>
          <w:szCs w:val="30"/>
        </w:rPr>
        <w:t>：秦岭生态功能区和嘉陵江河谷产业发展区。</w:t>
      </w:r>
    </w:p>
    <w:p w14:paraId="1D28F61B">
      <w:pPr>
        <w:ind w:firstLine="602"/>
        <w:rPr>
          <w:rFonts w:hint="default" w:ascii="Times New Roman" w:hAnsi="Times New Roman" w:eastAsia="仿宋_GB2312" w:cs="Times New Roman"/>
          <w:szCs w:val="30"/>
          <w:lang w:val="en-US" w:eastAsia="zh-CN"/>
        </w:rPr>
      </w:pPr>
      <w:r>
        <w:rPr>
          <w:rFonts w:hint="eastAsia" w:ascii="Times New Roman" w:hAnsi="Times New Roman" w:cs="Times New Roman"/>
          <w:szCs w:val="30"/>
          <w:lang w:val="en-US" w:eastAsia="zh-CN"/>
        </w:rPr>
        <w:t>秦岭生态功能区主要以秦岭生态保护为主，推进镇域矿山生态修复，</w:t>
      </w:r>
      <w:r>
        <w:rPr>
          <w:rFonts w:hint="eastAsia" w:ascii="Times New Roman" w:hAnsi="Times New Roman" w:cs="Times New Roman"/>
          <w:szCs w:val="30"/>
          <w:highlight w:val="none"/>
          <w:lang w:val="en-US" w:eastAsia="zh-CN"/>
        </w:rPr>
        <w:t>提升生态功能水平及保护野生动植物</w:t>
      </w:r>
      <w:r>
        <w:rPr>
          <w:rFonts w:hint="eastAsia" w:ascii="Times New Roman" w:hAnsi="Times New Roman" w:cs="Times New Roman"/>
          <w:szCs w:val="30"/>
          <w:lang w:val="en-US" w:eastAsia="zh-CN"/>
        </w:rPr>
        <w:t>；嘉陵江河谷产业发展区主要布局在嘉陵江沿岸，形成农业生产、矿山开采加工和生态旅游的产业集聚发展区。</w:t>
      </w:r>
    </w:p>
    <w:p w14:paraId="28E6161F">
      <w:pPr>
        <w:pStyle w:val="4"/>
        <w:spacing w:before="204" w:after="81"/>
        <w:ind w:firstLine="0" w:firstLineChars="0"/>
        <w:rPr>
          <w:rFonts w:ascii="Times New Roman" w:hAnsi="Times New Roman" w:cs="Times New Roman"/>
        </w:rPr>
      </w:pPr>
      <w:bookmarkStart w:id="42" w:name="_Toc22939"/>
      <w:bookmarkStart w:id="43" w:name="_Toc29684"/>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规划分区</w:t>
      </w:r>
      <w:bookmarkEnd w:id="42"/>
      <w:bookmarkEnd w:id="43"/>
    </w:p>
    <w:p w14:paraId="0D299815">
      <w:pPr>
        <w:keepNext w:val="0"/>
        <w:keepLines w:val="0"/>
        <w:widowControl/>
        <w:suppressLineNumbers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细化落实上位国土空间规划分区与管控要求，将</w:t>
      </w:r>
      <w:r>
        <w:rPr>
          <w:rFonts w:hint="eastAsia"/>
          <w:color w:val="000000" w:themeColor="text1"/>
          <w:lang w:val="en-US" w:eastAsia="zh-CN"/>
          <w14:textFill>
            <w14:solidFill>
              <w14:schemeClr w14:val="tx1"/>
            </w14:solidFill>
          </w14:textFill>
        </w:rPr>
        <w:t>镇域</w:t>
      </w:r>
      <w:r>
        <w:rPr>
          <w:rFonts w:hint="eastAsia"/>
          <w:color w:val="000000" w:themeColor="text1"/>
          <w14:textFill>
            <w14:solidFill>
              <w14:schemeClr w14:val="tx1"/>
            </w14:solidFill>
          </w14:textFill>
        </w:rPr>
        <w:t>国土空间划分为</w:t>
      </w:r>
      <w:r>
        <w:rPr>
          <w:rFonts w:hint="eastAsia"/>
          <w:color w:val="000000" w:themeColor="text1"/>
          <w:lang w:val="en-US" w:eastAsia="zh-CN"/>
          <w14:textFill>
            <w14:solidFill>
              <w14:schemeClr w14:val="tx1"/>
            </w14:solidFill>
          </w14:textFill>
        </w:rPr>
        <w:t>生态保护区、</w:t>
      </w:r>
      <w:r>
        <w:rPr>
          <w:rFonts w:hint="eastAsia"/>
          <w:color w:val="000000" w:themeColor="text1"/>
          <w14:textFill>
            <w14:solidFill>
              <w14:schemeClr w14:val="tx1"/>
            </w14:solidFill>
          </w14:textFill>
        </w:rPr>
        <w:t>生态控制区、农田保护区、</w:t>
      </w:r>
      <w:r>
        <w:rPr>
          <w:rFonts w:hint="eastAsia"/>
          <w:color w:val="000000" w:themeColor="text1"/>
          <w:lang w:val="en-US" w:eastAsia="zh-CN"/>
          <w14:textFill>
            <w14:solidFill>
              <w14:schemeClr w14:val="tx1"/>
            </w14:solidFill>
          </w14:textFill>
        </w:rPr>
        <w:t>城镇发展区、</w:t>
      </w:r>
      <w:r>
        <w:rPr>
          <w:rFonts w:hint="eastAsia"/>
          <w:color w:val="000000" w:themeColor="text1"/>
          <w14:textFill>
            <w14:solidFill>
              <w14:schemeClr w14:val="tx1"/>
            </w14:solidFill>
          </w14:textFill>
        </w:rPr>
        <w:t>乡村发展区</w:t>
      </w:r>
      <w:r>
        <w:rPr>
          <w:rFonts w:hint="eastAsia"/>
          <w:color w:val="000000" w:themeColor="text1"/>
          <w:lang w:val="en-US" w:eastAsia="zh-CN"/>
          <w14:textFill>
            <w14:solidFill>
              <w14:schemeClr w14:val="tx1"/>
            </w14:solidFill>
          </w14:textFill>
        </w:rPr>
        <w:t>和矿产能源发展区</w:t>
      </w:r>
      <w:r>
        <w:rPr>
          <w:rFonts w:hint="default" w:ascii="Times New Roman" w:hAnsi="Times New Roman" w:cs="Times New Roman"/>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类一级规划分区，</w:t>
      </w:r>
      <w:r>
        <w:rPr>
          <w:rFonts w:ascii="仿宋_GB2312" w:hAnsi="宋体" w:eastAsia="仿宋_GB2312" w:cs="仿宋_GB2312"/>
          <w:color w:val="000000"/>
          <w:kern w:val="0"/>
          <w:sz w:val="30"/>
          <w:szCs w:val="30"/>
          <w:lang w:val="en-US" w:eastAsia="zh-CN" w:bidi="ar"/>
        </w:rPr>
        <w:t>明确各类国土空间规划分区引导，加强国土空间用途管制</w:t>
      </w:r>
      <w:r>
        <w:rPr>
          <w:rFonts w:hint="eastAsia"/>
          <w:color w:val="000000" w:themeColor="text1"/>
          <w14:textFill>
            <w14:solidFill>
              <w14:schemeClr w14:val="tx1"/>
            </w14:solidFill>
          </w14:textFill>
        </w:rPr>
        <w:t>。</w:t>
      </w:r>
    </w:p>
    <w:p w14:paraId="5AD4C7BA">
      <w:pPr>
        <w:ind w:firstLine="600"/>
        <w:outlineLvl w:val="2"/>
        <w:rPr>
          <w:rFonts w:hint="eastAsia" w:ascii="Times New Roman" w:hAnsi="Times New Roman" w:cs="Times New Roman"/>
          <w:b/>
          <w:bCs/>
          <w:szCs w:val="30"/>
          <w:highlight w:val="none"/>
          <w:lang w:val="en-US" w:eastAsia="zh-CN"/>
        </w:rPr>
      </w:pPr>
      <w:r>
        <w:rPr>
          <w:rFonts w:hint="eastAsia" w:ascii="Times New Roman" w:hAnsi="Times New Roman" w:cs="Times New Roman"/>
          <w:b/>
          <w:bCs/>
          <w:szCs w:val="30"/>
          <w:highlight w:val="none"/>
          <w:lang w:val="en-US" w:eastAsia="zh-CN"/>
        </w:rPr>
        <w:t>（一）生态保护区</w:t>
      </w:r>
    </w:p>
    <w:p w14:paraId="2C5ADD00">
      <w:pPr>
        <w:keepNext w:val="0"/>
        <w:keepLines w:val="0"/>
        <w:widowControl/>
        <w:suppressLineNumbers w:val="0"/>
        <w:jc w:val="left"/>
        <w:rPr>
          <w:rFonts w:hint="eastAsia" w:ascii="仿宋_GB2312" w:hAnsi="宋体" w:cs="仿宋_GB2312"/>
          <w:color w:val="000000"/>
          <w:kern w:val="0"/>
          <w:sz w:val="30"/>
          <w:szCs w:val="30"/>
          <w:lang w:val="en-US" w:eastAsia="zh-CN" w:bidi="ar"/>
        </w:rPr>
      </w:pPr>
      <w:r>
        <w:rPr>
          <w:rFonts w:hint="eastAsia"/>
          <w:color w:val="000000" w:themeColor="text1"/>
          <w:lang w:val="en-US" w:eastAsia="zh-CN"/>
          <w14:textFill>
            <w14:solidFill>
              <w14:schemeClr w14:val="tx1"/>
            </w14:solidFill>
          </w14:textFill>
        </w:rPr>
        <w:t>红花铺镇生态保护区</w:t>
      </w:r>
      <w:r>
        <w:rPr>
          <w:rFonts w:hint="eastAsia" w:ascii="Times New Roman" w:hAnsi="Times New Roman" w:cs="Times New Roman"/>
          <w:b w:val="0"/>
          <w:bCs w:val="0"/>
          <w:szCs w:val="30"/>
          <w:highlight w:val="none"/>
          <w:lang w:val="en-US" w:eastAsia="zh-CN"/>
        </w:rPr>
        <w:t>12345.99</w:t>
      </w:r>
      <w:r>
        <w:rPr>
          <w:rFonts w:hint="eastAsia"/>
          <w:color w:val="000000" w:themeColor="text1"/>
          <w:lang w:val="en-US" w:eastAsia="zh-CN"/>
          <w14:textFill>
            <w14:solidFill>
              <w14:schemeClr w14:val="tx1"/>
            </w14:solidFill>
          </w14:textFill>
        </w:rPr>
        <w:t>公顷，</w:t>
      </w:r>
      <w:r>
        <w:rPr>
          <w:rFonts w:hint="eastAsia"/>
          <w:color w:val="000000" w:themeColor="text1"/>
          <w:highlight w:val="none"/>
          <w:lang w:val="en-US" w:eastAsia="zh-CN"/>
          <w14:textFill>
            <w14:solidFill>
              <w14:schemeClr w14:val="tx1"/>
            </w14:solidFill>
          </w14:textFill>
        </w:rPr>
        <w:t>占镇域国土面积的</w:t>
      </w:r>
      <w:r>
        <w:rPr>
          <w:rFonts w:hint="eastAsia" w:ascii="Times New Roman" w:hAnsi="Times New Roman" w:cs="Times New Roman"/>
          <w:b w:val="0"/>
          <w:bCs w:val="0"/>
          <w:szCs w:val="30"/>
          <w:highlight w:val="none"/>
          <w:lang w:val="en-US" w:eastAsia="zh-CN"/>
        </w:rPr>
        <w:t>53.46%，</w:t>
      </w:r>
      <w:r>
        <w:rPr>
          <w:rFonts w:hint="eastAsia" w:ascii="仿宋_GB2312" w:hAnsi="宋体" w:cs="仿宋_GB2312"/>
          <w:color w:val="000000"/>
          <w:kern w:val="0"/>
          <w:sz w:val="30"/>
          <w:szCs w:val="30"/>
          <w:lang w:val="en-US" w:eastAsia="zh-CN" w:bidi="ar"/>
        </w:rPr>
        <w:t>将</w:t>
      </w:r>
      <w:r>
        <w:rPr>
          <w:rFonts w:ascii="仿宋_GB2312" w:hAnsi="宋体" w:eastAsia="仿宋_GB2312" w:cs="仿宋_GB2312"/>
          <w:color w:val="000000"/>
          <w:kern w:val="0"/>
          <w:sz w:val="30"/>
          <w:szCs w:val="30"/>
          <w:lang w:val="en-US" w:eastAsia="zh-CN" w:bidi="ar"/>
        </w:rPr>
        <w:t>划定</w:t>
      </w:r>
      <w:r>
        <w:rPr>
          <w:rFonts w:hint="eastAsia" w:ascii="仿宋_GB2312" w:hAnsi="宋体" w:cs="仿宋_GB2312"/>
          <w:color w:val="000000"/>
          <w:kern w:val="0"/>
          <w:sz w:val="30"/>
          <w:szCs w:val="30"/>
          <w:lang w:val="en-US" w:eastAsia="zh-CN" w:bidi="ar"/>
        </w:rPr>
        <w:t>的</w:t>
      </w:r>
      <w:r>
        <w:rPr>
          <w:rFonts w:ascii="仿宋_GB2312" w:hAnsi="宋体" w:eastAsia="仿宋_GB2312" w:cs="仿宋_GB2312"/>
          <w:color w:val="000000"/>
          <w:kern w:val="0"/>
          <w:sz w:val="30"/>
          <w:szCs w:val="30"/>
          <w:lang w:val="en-US" w:eastAsia="zh-CN" w:bidi="ar"/>
        </w:rPr>
        <w:t>生态保护红线</w:t>
      </w:r>
      <w:r>
        <w:rPr>
          <w:rFonts w:hint="eastAsia" w:ascii="仿宋_GB2312" w:hAnsi="宋体" w:cs="仿宋_GB2312"/>
          <w:color w:val="000000"/>
          <w:kern w:val="0"/>
          <w:sz w:val="30"/>
          <w:szCs w:val="30"/>
          <w:lang w:val="en-US" w:eastAsia="zh-CN" w:bidi="ar"/>
        </w:rPr>
        <w:t>集中连片区域全部纳入生态保护区</w:t>
      </w:r>
      <w:r>
        <w:rPr>
          <w:rFonts w:hint="eastAsia" w:ascii="仿宋_GB2312" w:hAnsi="宋体" w:eastAsia="仿宋_GB2312" w:cs="仿宋_GB2312"/>
          <w:color w:val="000000"/>
          <w:kern w:val="0"/>
          <w:sz w:val="30"/>
          <w:szCs w:val="30"/>
          <w:lang w:val="en-US" w:eastAsia="zh-CN" w:bidi="ar"/>
        </w:rPr>
        <w:t>，</w:t>
      </w:r>
      <w:r>
        <w:rPr>
          <w:rFonts w:hint="eastAsia" w:ascii="仿宋_GB2312" w:hAnsi="宋体" w:cs="仿宋_GB2312"/>
          <w:color w:val="000000"/>
          <w:kern w:val="0"/>
          <w:sz w:val="30"/>
          <w:szCs w:val="30"/>
          <w:lang w:val="en-US" w:eastAsia="zh-CN" w:bidi="ar"/>
        </w:rPr>
        <w:t>主要分布于红花铺村、永生村、草凉驿村以及黄牛铺林场、凤州林场</w:t>
      </w:r>
      <w:r>
        <w:rPr>
          <w:rFonts w:hint="eastAsia" w:ascii="仿宋_GB2312" w:hAnsi="宋体" w:eastAsia="仿宋_GB2312" w:cs="仿宋_GB2312"/>
          <w:color w:val="000000"/>
          <w:kern w:val="0"/>
          <w:sz w:val="30"/>
          <w:szCs w:val="30"/>
          <w:lang w:val="en-US" w:eastAsia="zh-CN" w:bidi="ar"/>
        </w:rPr>
        <w:t>等区域</w:t>
      </w:r>
      <w:r>
        <w:rPr>
          <w:rFonts w:hint="eastAsia" w:ascii="仿宋_GB2312" w:hAnsi="宋体" w:cs="仿宋_GB2312"/>
          <w:color w:val="000000"/>
          <w:kern w:val="0"/>
          <w:sz w:val="30"/>
          <w:szCs w:val="30"/>
          <w:lang w:val="en-US" w:eastAsia="zh-CN" w:bidi="ar"/>
        </w:rPr>
        <w:t>。</w:t>
      </w:r>
    </w:p>
    <w:p w14:paraId="6FD708C9">
      <w:pPr>
        <w:ind w:firstLine="600"/>
        <w:rPr>
          <w:rFonts w:ascii="Times New Roman" w:hAnsi="Times New Roman" w:cs="Times New Roman"/>
          <w:szCs w:val="30"/>
        </w:rPr>
      </w:pPr>
      <w:r>
        <w:rPr>
          <w:rFonts w:ascii="Times New Roman" w:hAnsi="Times New Roman" w:cs="Times New Roman"/>
          <w:szCs w:val="30"/>
        </w:rPr>
        <w:t>严格按照</w:t>
      </w:r>
      <w:r>
        <w:rPr>
          <w:rFonts w:hint="eastAsia" w:ascii="Times New Roman" w:hAnsi="Times New Roman" w:cs="Times New Roman"/>
          <w:szCs w:val="30"/>
        </w:rPr>
        <w:t>相关法规</w:t>
      </w:r>
      <w:r>
        <w:rPr>
          <w:rFonts w:ascii="Times New Roman" w:hAnsi="Times New Roman" w:cs="Times New Roman"/>
          <w:szCs w:val="30"/>
        </w:rPr>
        <w:t>进行管控，严禁开展与主导功能不相符的各项建设活动；要依据法律法规和相关规划实行强制性保护</w:t>
      </w:r>
      <w:r>
        <w:rPr>
          <w:rFonts w:hint="eastAsia" w:ascii="Times New Roman" w:hAnsi="Times New Roman" w:cs="Times New Roman"/>
          <w:szCs w:val="30"/>
        </w:rPr>
        <w:t>。</w:t>
      </w:r>
      <w:r>
        <w:rPr>
          <w:rFonts w:ascii="Times New Roman" w:hAnsi="Times New Roman" w:cs="Times New Roman"/>
          <w:szCs w:val="30"/>
        </w:rPr>
        <w:t>区内影响生态环境安全的土地，应在规划期间调整为适宜的用途；区内土地严禁进行与生态环境保护无关的开发建设活动，原有的各</w:t>
      </w:r>
      <w:r>
        <w:rPr>
          <w:rFonts w:hint="eastAsia" w:ascii="Times New Roman" w:hAnsi="Times New Roman" w:cs="Times New Roman"/>
          <w:szCs w:val="30"/>
        </w:rPr>
        <w:t>类</w:t>
      </w:r>
      <w:r>
        <w:rPr>
          <w:rFonts w:ascii="Times New Roman" w:hAnsi="Times New Roman" w:cs="Times New Roman"/>
          <w:szCs w:val="30"/>
        </w:rPr>
        <w:t>生产开发活动应逐步退出。</w:t>
      </w:r>
    </w:p>
    <w:p w14:paraId="214FF9A9">
      <w:pPr>
        <w:ind w:firstLine="600"/>
        <w:outlineLvl w:val="2"/>
        <w:rPr>
          <w:rFonts w:hint="default" w:ascii="Times New Roman" w:hAnsi="Times New Roman" w:cs="Times New Roman"/>
          <w:b/>
          <w:bCs/>
          <w:szCs w:val="30"/>
          <w:highlight w:val="none"/>
          <w:lang w:val="en-US" w:eastAsia="zh-CN"/>
        </w:rPr>
      </w:pPr>
      <w:r>
        <w:rPr>
          <w:rFonts w:hint="eastAsia" w:ascii="Times New Roman" w:hAnsi="Times New Roman" w:cs="Times New Roman"/>
          <w:b/>
          <w:bCs/>
          <w:szCs w:val="30"/>
          <w:highlight w:val="none"/>
          <w:lang w:val="en-US" w:eastAsia="zh-CN"/>
        </w:rPr>
        <w:t>（二）生态控制区</w:t>
      </w:r>
    </w:p>
    <w:p w14:paraId="4F846265">
      <w:pPr>
        <w:widowControl/>
        <w:ind w:firstLine="600"/>
        <w:rPr>
          <w:rFonts w:hint="default" w:ascii="仿宋_GB2312" w:hAnsi="宋体" w:eastAsia="仿宋_GB2312" w:cs="仿宋_GB2312"/>
          <w:color w:val="000000"/>
          <w:kern w:val="0"/>
          <w:sz w:val="30"/>
          <w:szCs w:val="30"/>
          <w:lang w:val="en-US" w:eastAsia="zh-CN" w:bidi="ar"/>
        </w:rPr>
      </w:pPr>
      <w:r>
        <w:rPr>
          <w:rFonts w:hint="eastAsia"/>
          <w:color w:val="000000" w:themeColor="text1"/>
          <w:lang w:val="en-US" w:eastAsia="zh-CN"/>
          <w14:textFill>
            <w14:solidFill>
              <w14:schemeClr w14:val="tx1"/>
            </w14:solidFill>
          </w14:textFill>
        </w:rPr>
        <w:t>红花铺镇生态控制区</w:t>
      </w:r>
      <w:r>
        <w:rPr>
          <w:rFonts w:hint="eastAsia" w:ascii="Times New Roman" w:hAnsi="Times New Roman" w:cs="Times New Roman"/>
          <w:b w:val="0"/>
          <w:bCs w:val="0"/>
          <w:szCs w:val="30"/>
          <w:highlight w:val="none"/>
          <w:lang w:val="en-US" w:eastAsia="zh-CN"/>
        </w:rPr>
        <w:t>4821.13</w:t>
      </w:r>
      <w:r>
        <w:rPr>
          <w:rFonts w:hint="eastAsia"/>
          <w:color w:val="000000" w:themeColor="text1"/>
          <w:highlight w:val="none"/>
          <w:lang w:val="en-US" w:eastAsia="zh-CN"/>
          <w14:textFill>
            <w14:solidFill>
              <w14:schemeClr w14:val="tx1"/>
            </w14:solidFill>
          </w14:textFill>
        </w:rPr>
        <w:t>公顷，占镇域国土面积的</w:t>
      </w:r>
      <w:r>
        <w:rPr>
          <w:rFonts w:hint="eastAsia" w:ascii="Times New Roman" w:hAnsi="Times New Roman" w:cs="Times New Roman"/>
          <w:b w:val="0"/>
          <w:bCs w:val="0"/>
          <w:szCs w:val="30"/>
          <w:highlight w:val="none"/>
          <w:lang w:val="en-US" w:eastAsia="zh-CN"/>
        </w:rPr>
        <w:t>20.88%，</w:t>
      </w:r>
      <w:r>
        <w:rPr>
          <w:rFonts w:hint="eastAsia" w:ascii="Times New Roman" w:hAnsi="Times New Roman"/>
          <w:color w:val="000000" w:themeColor="text1"/>
          <w:szCs w:val="30"/>
          <w14:textFill>
            <w14:solidFill>
              <w14:schemeClr w14:val="tx1"/>
            </w14:solidFill>
          </w14:textFill>
        </w:rPr>
        <w:t>该区是生态保护红线外需要予以保留原貌、强化生态保育和生态建设、限制开发建设的区域</w:t>
      </w:r>
      <w:r>
        <w:rPr>
          <w:rFonts w:hint="eastAsia" w:ascii="Times New Roman" w:hAnsi="Times New Roman"/>
          <w:color w:val="000000" w:themeColor="text1"/>
          <w:szCs w:val="30"/>
          <w:lang w:eastAsia="zh-CN"/>
          <w14:textFill>
            <w14:solidFill>
              <w14:schemeClr w14:val="tx1"/>
            </w14:solidFill>
          </w14:textFill>
        </w:rPr>
        <w:t>，</w:t>
      </w:r>
      <w:r>
        <w:rPr>
          <w:rFonts w:hint="eastAsia" w:ascii="Times New Roman" w:hAnsi="Times New Roman"/>
          <w:color w:val="000000" w:themeColor="text1"/>
          <w:szCs w:val="30"/>
          <w:lang w:val="en-US" w:eastAsia="zh-CN"/>
          <w14:textFill>
            <w14:solidFill>
              <w14:schemeClr w14:val="tx1"/>
            </w14:solidFill>
          </w14:textFill>
        </w:rPr>
        <w:t>主要分布于白家店村、</w:t>
      </w:r>
      <w:r>
        <w:rPr>
          <w:rFonts w:hint="eastAsia" w:ascii="仿宋_GB2312" w:hAnsi="宋体" w:cs="仿宋_GB2312"/>
          <w:color w:val="000000"/>
          <w:kern w:val="0"/>
          <w:sz w:val="30"/>
          <w:szCs w:val="30"/>
          <w:lang w:val="en-US" w:eastAsia="zh-CN" w:bidi="ar"/>
        </w:rPr>
        <w:t>草凉驿村、永生村</w:t>
      </w:r>
      <w:r>
        <w:rPr>
          <w:rFonts w:hint="eastAsia" w:ascii="Times New Roman" w:hAnsi="Times New Roman"/>
          <w:color w:val="000000" w:themeColor="text1"/>
          <w:szCs w:val="30"/>
          <w:lang w:val="en-US" w:eastAsia="zh-CN"/>
          <w14:textFill>
            <w14:solidFill>
              <w14:schemeClr w14:val="tx1"/>
            </w14:solidFill>
          </w14:textFill>
        </w:rPr>
        <w:t>等区域。</w:t>
      </w:r>
    </w:p>
    <w:p w14:paraId="31BFBC05">
      <w:pPr>
        <w:widowControl/>
        <w:ind w:firstLine="600"/>
        <w:rPr>
          <w:rFonts w:hint="default" w:ascii="仿宋_GB2312" w:hAnsi="宋体" w:cs="仿宋_GB2312"/>
          <w:color w:val="000000"/>
          <w:kern w:val="0"/>
          <w:sz w:val="30"/>
          <w:szCs w:val="30"/>
          <w:lang w:val="en-US" w:eastAsia="zh-CN" w:bidi="ar"/>
        </w:rPr>
      </w:pPr>
      <w:r>
        <w:rPr>
          <w:rFonts w:hint="eastAsia" w:ascii="Times New Roman" w:hAnsi="Times New Roman"/>
          <w:color w:val="000000" w:themeColor="text1"/>
          <w:szCs w:val="30"/>
          <w14:textFill>
            <w14:solidFill>
              <w14:schemeClr w14:val="tx1"/>
            </w14:solidFill>
          </w14:textFill>
        </w:rPr>
        <w:t>生态控制区以生态保护与修复为主导用途，在不降低生态功能和生态系统且符合空间准入、强度控制和风貌管控要求的前提下，可进行适度的开发利用和结构布局调整。</w:t>
      </w:r>
    </w:p>
    <w:p w14:paraId="458BFDAC">
      <w:pPr>
        <w:ind w:firstLine="600"/>
        <w:outlineLvl w:val="2"/>
        <w:rPr>
          <w:rFonts w:hint="default" w:ascii="仿宋_GB2312" w:hAnsi="宋体" w:cs="仿宋_GB2312"/>
          <w:color w:val="000000"/>
          <w:kern w:val="0"/>
          <w:sz w:val="30"/>
          <w:szCs w:val="30"/>
          <w:lang w:val="en-US" w:eastAsia="zh-CN" w:bidi="ar"/>
        </w:rPr>
      </w:pPr>
      <w:r>
        <w:rPr>
          <w:rFonts w:hint="eastAsia" w:ascii="Times New Roman" w:hAnsi="Times New Roman" w:cs="Times New Roman"/>
          <w:b/>
          <w:bCs/>
          <w:szCs w:val="30"/>
          <w:highlight w:val="none"/>
          <w:lang w:val="en-US" w:eastAsia="zh-CN"/>
        </w:rPr>
        <w:t>（三）农田保护区</w:t>
      </w:r>
    </w:p>
    <w:p w14:paraId="2B7FD83E">
      <w:pPr>
        <w:widowControl/>
        <w:ind w:firstLine="600"/>
        <w:rPr>
          <w:rFonts w:hint="default" w:ascii="仿宋_GB2312" w:hAnsi="宋体" w:cs="仿宋_GB2312"/>
          <w:color w:val="000000"/>
          <w:kern w:val="0"/>
          <w:sz w:val="30"/>
          <w:szCs w:val="30"/>
          <w:lang w:val="en-US" w:eastAsia="zh-CN" w:bidi="ar"/>
        </w:rPr>
      </w:pPr>
      <w:r>
        <w:rPr>
          <w:rFonts w:hint="eastAsia"/>
          <w:color w:val="000000" w:themeColor="text1"/>
          <w:lang w:val="en-US" w:eastAsia="zh-CN"/>
          <w14:textFill>
            <w14:solidFill>
              <w14:schemeClr w14:val="tx1"/>
            </w14:solidFill>
          </w14:textFill>
        </w:rPr>
        <w:t>红花铺镇农田保护区</w:t>
      </w:r>
      <w:r>
        <w:rPr>
          <w:rFonts w:hint="eastAsia" w:ascii="Times New Roman" w:hAnsi="Times New Roman" w:cs="Times New Roman"/>
          <w:b w:val="0"/>
          <w:bCs w:val="0"/>
          <w:szCs w:val="30"/>
          <w:highlight w:val="none"/>
          <w:lang w:val="en-US" w:eastAsia="zh-CN"/>
        </w:rPr>
        <w:t>168.76</w:t>
      </w:r>
      <w:r>
        <w:rPr>
          <w:rFonts w:hint="eastAsia"/>
          <w:color w:val="000000" w:themeColor="text1"/>
          <w:lang w:val="en-US" w:eastAsia="zh-CN"/>
          <w14:textFill>
            <w14:solidFill>
              <w14:schemeClr w14:val="tx1"/>
            </w14:solidFill>
          </w14:textFill>
        </w:rPr>
        <w:t>公顷，</w:t>
      </w:r>
      <w:r>
        <w:rPr>
          <w:rFonts w:hint="eastAsia"/>
          <w:color w:val="000000" w:themeColor="text1"/>
          <w:highlight w:val="none"/>
          <w:lang w:val="en-US" w:eastAsia="zh-CN"/>
          <w14:textFill>
            <w14:solidFill>
              <w14:schemeClr w14:val="tx1"/>
            </w14:solidFill>
          </w14:textFill>
        </w:rPr>
        <w:t>占镇域国土面积的</w:t>
      </w:r>
      <w:r>
        <w:rPr>
          <w:rFonts w:hint="eastAsia" w:ascii="Times New Roman" w:hAnsi="Times New Roman" w:cs="Times New Roman"/>
          <w:b w:val="0"/>
          <w:bCs w:val="0"/>
          <w:szCs w:val="30"/>
          <w:highlight w:val="none"/>
          <w:lang w:val="en-US" w:eastAsia="zh-CN"/>
        </w:rPr>
        <w:t>0.73%，</w:t>
      </w:r>
      <w:r>
        <w:rPr>
          <w:rFonts w:hint="eastAsia" w:ascii="Times New Roman" w:hAnsi="Times New Roman"/>
          <w:color w:val="000000" w:themeColor="text1"/>
          <w:szCs w:val="30"/>
          <w14:textFill>
            <w14:solidFill>
              <w14:schemeClr w14:val="tx1"/>
            </w14:solidFill>
          </w14:textFill>
        </w:rPr>
        <w:t>该区是</w:t>
      </w:r>
      <w:r>
        <w:rPr>
          <w:rFonts w:hint="eastAsia" w:ascii="Times New Roman" w:hAnsi="Times New Roman"/>
          <w:color w:val="000000" w:themeColor="text1"/>
          <w:szCs w:val="30"/>
          <w:lang w:val="en-US" w:eastAsia="zh-CN"/>
          <w14:textFill>
            <w14:solidFill>
              <w14:schemeClr w14:val="tx1"/>
            </w14:solidFill>
          </w14:textFill>
        </w:rPr>
        <w:t>永久基本农田集中分布的区域，主要沿永生村、红花铺村、草凉驿村和白家店村的河谷地带分布。</w:t>
      </w:r>
    </w:p>
    <w:p w14:paraId="7067A37D">
      <w:pPr>
        <w:ind w:firstLine="600"/>
        <w:rPr>
          <w:rFonts w:ascii="Times New Roman" w:hAnsi="Times New Roman" w:cs="Times New Roman"/>
          <w:szCs w:val="30"/>
        </w:rPr>
      </w:pPr>
      <w:r>
        <w:rPr>
          <w:rFonts w:ascii="Times New Roman" w:hAnsi="Times New Roman" w:cs="Times New Roman"/>
          <w:szCs w:val="30"/>
        </w:rPr>
        <w:t>严格按照</w:t>
      </w:r>
      <w:r>
        <w:rPr>
          <w:rFonts w:hint="eastAsia" w:ascii="Times New Roman" w:hAnsi="Times New Roman" w:cs="Times New Roman"/>
          <w:szCs w:val="30"/>
        </w:rPr>
        <w:t>永久基本农田保护相关法律法规</w:t>
      </w:r>
      <w:r>
        <w:rPr>
          <w:rFonts w:ascii="Times New Roman" w:hAnsi="Times New Roman" w:cs="Times New Roman"/>
          <w:szCs w:val="30"/>
        </w:rPr>
        <w:t>进行管控，对区内现有非农建设用地和其他零星农用地进行整理、复垦或调整为永久基本农田，规划期间确实不能整理、复垦或调整的，可保留现状用途，但不得扩大面积；禁止占用区内永久基本农田进行非农建设，禁止在永久基本农田上建房、建窑、建坟、挖砂、采矿、取土、堆放固体废弃物或者进行其他破坏永久基本农田的活动；禁止占用永久基本农田发展林果业和挖塘养鱼。</w:t>
      </w:r>
    </w:p>
    <w:p w14:paraId="3FFD95E0">
      <w:pPr>
        <w:ind w:firstLine="600"/>
        <w:outlineLvl w:val="2"/>
        <w:rPr>
          <w:rFonts w:hint="default" w:ascii="仿宋_GB2312" w:hAnsi="宋体" w:cs="仿宋_GB2312"/>
          <w:color w:val="000000"/>
          <w:kern w:val="0"/>
          <w:sz w:val="30"/>
          <w:szCs w:val="30"/>
          <w:lang w:val="en-US" w:eastAsia="zh-CN" w:bidi="ar"/>
        </w:rPr>
      </w:pPr>
      <w:r>
        <w:rPr>
          <w:rFonts w:hint="eastAsia" w:ascii="Times New Roman" w:hAnsi="Times New Roman" w:cs="Times New Roman"/>
          <w:b/>
          <w:bCs/>
          <w:szCs w:val="30"/>
          <w:highlight w:val="none"/>
          <w:lang w:val="en-US" w:eastAsia="zh-CN"/>
        </w:rPr>
        <w:t>（四）城镇发展区</w:t>
      </w:r>
    </w:p>
    <w:p w14:paraId="2E0EFB7F">
      <w:pPr>
        <w:keepNext w:val="0"/>
        <w:keepLines w:val="0"/>
        <w:widowControl/>
        <w:suppressLineNumbers w:val="0"/>
        <w:jc w:val="left"/>
        <w:rPr>
          <w:rFonts w:hint="default" w:ascii="Times New Roman" w:hAnsi="Times New Roman" w:cs="Times New Roman"/>
          <w:b w:val="0"/>
          <w:bCs w:val="0"/>
          <w:szCs w:val="30"/>
          <w:highlight w:val="none"/>
          <w:lang w:val="en-US" w:eastAsia="zh-CN"/>
        </w:rPr>
      </w:pPr>
      <w:r>
        <w:rPr>
          <w:rFonts w:hint="eastAsia"/>
          <w:color w:val="000000" w:themeColor="text1"/>
          <w:lang w:val="en-US" w:eastAsia="zh-CN"/>
          <w14:textFill>
            <w14:solidFill>
              <w14:schemeClr w14:val="tx1"/>
            </w14:solidFill>
          </w14:textFill>
        </w:rPr>
        <w:t>红花铺镇城镇发展区</w:t>
      </w:r>
      <w:r>
        <w:rPr>
          <w:rFonts w:hint="eastAsia" w:ascii="Times New Roman" w:hAnsi="Times New Roman" w:cs="Times New Roman"/>
          <w:b w:val="0"/>
          <w:bCs w:val="0"/>
          <w:szCs w:val="30"/>
          <w:highlight w:val="none"/>
          <w:lang w:val="en-US" w:eastAsia="zh-CN"/>
        </w:rPr>
        <w:t>13.81</w:t>
      </w:r>
      <w:r>
        <w:rPr>
          <w:rFonts w:hint="eastAsia"/>
          <w:color w:val="000000" w:themeColor="text1"/>
          <w:lang w:val="en-US" w:eastAsia="zh-CN"/>
          <w14:textFill>
            <w14:solidFill>
              <w14:schemeClr w14:val="tx1"/>
            </w14:solidFill>
          </w14:textFill>
        </w:rPr>
        <w:t>公顷</w:t>
      </w:r>
      <w:r>
        <w:rPr>
          <w:rFonts w:hint="eastAsia" w:ascii="Times New Roman" w:hAnsi="Times New Roman" w:cs="Times New Roman"/>
          <w:b w:val="0"/>
          <w:bCs w:val="0"/>
          <w:szCs w:val="30"/>
          <w:highlight w:val="none"/>
          <w:lang w:val="en-US" w:eastAsia="zh-CN"/>
        </w:rPr>
        <w:t>，只有城镇集中发展区1个二级分区，主要涉及镇区及白家店村等区域。城镇集中发展区包含居住生活区、综合服务区、商业商务区、工业发展区、绿地休闲区、交通枢纽区、战略预留区7个三级分区。</w:t>
      </w:r>
    </w:p>
    <w:p w14:paraId="71E06817">
      <w:pPr>
        <w:keepNext w:val="0"/>
        <w:keepLines w:val="0"/>
        <w:widowControl/>
        <w:suppressLineNumbers w:val="0"/>
        <w:jc w:val="left"/>
        <w:rPr>
          <w:rFonts w:hint="default" w:ascii="Times New Roman" w:hAnsi="Times New Roman" w:cs="Times New Roman"/>
          <w:szCs w:val="30"/>
          <w:lang w:val="en-US" w:eastAsia="zh-CN"/>
        </w:rPr>
      </w:pPr>
      <w:r>
        <w:rPr>
          <w:rFonts w:hint="eastAsia" w:ascii="Times New Roman" w:hAnsi="Times New Roman" w:cs="Times New Roman"/>
          <w:szCs w:val="30"/>
          <w:lang w:val="en-US" w:eastAsia="zh-CN"/>
        </w:rPr>
        <w:t>城镇集中建设区</w:t>
      </w:r>
      <w:r>
        <w:rPr>
          <w:rFonts w:hint="eastAsia" w:ascii="Times New Roman" w:hAnsi="Times New Roman" w:cs="Times New Roman"/>
          <w:szCs w:val="30"/>
        </w:rPr>
        <w:t>实行“详细规划</w:t>
      </w:r>
      <w:r>
        <w:rPr>
          <w:rFonts w:ascii="Times New Roman" w:hAnsi="Times New Roman" w:cs="Times New Roman"/>
          <w:szCs w:val="30"/>
        </w:rPr>
        <w:t>+规划许可</w:t>
      </w:r>
      <w:r>
        <w:rPr>
          <w:rFonts w:hint="eastAsia" w:ascii="Times New Roman" w:hAnsi="Times New Roman" w:cs="Times New Roman"/>
          <w:szCs w:val="30"/>
          <w:lang w:val="en-US" w:eastAsia="zh-CN"/>
        </w:rPr>
        <w:t>”和“分区准入+产业准入”</w:t>
      </w:r>
      <w:r>
        <w:rPr>
          <w:rFonts w:ascii="Times New Roman" w:hAnsi="Times New Roman" w:cs="Times New Roman"/>
          <w:szCs w:val="30"/>
        </w:rPr>
        <w:t>的管制方式，各类城镇建设用途的</w:t>
      </w:r>
      <w:r>
        <w:rPr>
          <w:rFonts w:hint="eastAsia" w:ascii="Times New Roman" w:hAnsi="Times New Roman" w:cs="Times New Roman"/>
          <w:szCs w:val="30"/>
        </w:rPr>
        <w:t>准入应符合国土空间规划和其他相关规划</w:t>
      </w:r>
      <w:r>
        <w:rPr>
          <w:rFonts w:hint="eastAsia" w:ascii="Times New Roman" w:hAnsi="Times New Roman" w:cs="Times New Roman"/>
          <w:szCs w:val="30"/>
          <w:lang w:eastAsia="zh-CN"/>
        </w:rPr>
        <w:t>，</w:t>
      </w:r>
      <w:r>
        <w:rPr>
          <w:rFonts w:hint="eastAsia" w:ascii="Times New Roman" w:hAnsi="Times New Roman" w:cs="Times New Roman"/>
          <w:szCs w:val="30"/>
          <w:lang w:val="en-US" w:eastAsia="zh-CN"/>
        </w:rPr>
        <w:t>加强与城市四线的协同管控，通过划定“四线”及制定管理办法实现对城镇核心要素的控制。</w:t>
      </w:r>
    </w:p>
    <w:p w14:paraId="370C8D37">
      <w:pPr>
        <w:ind w:firstLine="1205" w:firstLineChars="400"/>
        <w:outlineLvl w:val="2"/>
        <w:rPr>
          <w:rFonts w:hint="default" w:ascii="仿宋_GB2312" w:hAnsi="宋体" w:cs="仿宋_GB2312"/>
          <w:color w:val="000000"/>
          <w:kern w:val="0"/>
          <w:sz w:val="30"/>
          <w:szCs w:val="30"/>
          <w:lang w:val="en-US" w:eastAsia="zh-CN" w:bidi="ar"/>
        </w:rPr>
      </w:pPr>
      <w:r>
        <w:rPr>
          <w:rFonts w:hint="eastAsia" w:ascii="Times New Roman" w:hAnsi="Times New Roman" w:cs="Times New Roman"/>
          <w:b/>
          <w:bCs/>
          <w:szCs w:val="30"/>
          <w:highlight w:val="none"/>
          <w:lang w:val="en-US" w:eastAsia="zh-CN"/>
        </w:rPr>
        <w:t>（五）乡村发展区</w:t>
      </w:r>
    </w:p>
    <w:p w14:paraId="3B028143">
      <w:pPr>
        <w:widowControl/>
        <w:ind w:firstLine="600"/>
        <w:rPr>
          <w:rFonts w:hint="default" w:ascii="仿宋_GB2312" w:hAnsi="仿宋" w:eastAsia="仿宋_GB2312"/>
          <w:szCs w:val="30"/>
          <w:lang w:val="en-US" w:eastAsia="zh-CN"/>
        </w:rPr>
      </w:pPr>
      <w:r>
        <w:rPr>
          <w:rFonts w:hint="eastAsia"/>
          <w:color w:val="000000" w:themeColor="text1"/>
          <w:lang w:val="en-US" w:eastAsia="zh-CN"/>
          <w14:textFill>
            <w14:solidFill>
              <w14:schemeClr w14:val="tx1"/>
            </w14:solidFill>
          </w14:textFill>
        </w:rPr>
        <w:t>红花铺镇乡村发展区</w:t>
      </w:r>
      <w:r>
        <w:rPr>
          <w:rFonts w:hint="eastAsia" w:ascii="Times New Roman" w:hAnsi="Times New Roman" w:cs="Times New Roman"/>
          <w:b w:val="0"/>
          <w:bCs w:val="0"/>
          <w:szCs w:val="30"/>
          <w:highlight w:val="none"/>
          <w:lang w:val="en-US" w:eastAsia="zh-CN"/>
        </w:rPr>
        <w:t>5713.53</w:t>
      </w:r>
      <w:r>
        <w:rPr>
          <w:rFonts w:hint="eastAsia"/>
          <w:color w:val="000000" w:themeColor="text1"/>
          <w:highlight w:val="none"/>
          <w:lang w:val="en-US" w:eastAsia="zh-CN"/>
          <w14:textFill>
            <w14:solidFill>
              <w14:schemeClr w14:val="tx1"/>
            </w14:solidFill>
          </w14:textFill>
        </w:rPr>
        <w:t>公顷，占镇域国土面积的</w:t>
      </w:r>
      <w:r>
        <w:rPr>
          <w:rFonts w:hint="eastAsia" w:ascii="Times New Roman" w:hAnsi="Times New Roman" w:cs="Times New Roman"/>
          <w:b w:val="0"/>
          <w:bCs w:val="0"/>
          <w:szCs w:val="30"/>
          <w:highlight w:val="none"/>
          <w:lang w:val="en-US" w:eastAsia="zh-CN"/>
        </w:rPr>
        <w:t>24.74%，</w:t>
      </w:r>
      <w:r>
        <w:rPr>
          <w:rFonts w:hint="eastAsia" w:ascii="仿宋_GB2312" w:hAnsi="仿宋"/>
          <w:szCs w:val="30"/>
        </w:rPr>
        <w:t>该区是农田保护区外，为满足农林牧渔等农业发展以及农民集中生活和生产配套为主的区域，包含一般农业区、村庄建设区和林业发展区</w:t>
      </w:r>
      <w:r>
        <w:rPr>
          <w:rFonts w:hint="eastAsia" w:ascii="Times New Roman" w:hAnsi="Times New Roman"/>
          <w:color w:val="000000" w:themeColor="text1"/>
          <w:szCs w:val="30"/>
          <w14:textFill>
            <w14:solidFill>
              <w14:schemeClr w14:val="tx1"/>
            </w14:solidFill>
          </w14:textFill>
        </w:rPr>
        <w:t>3</w:t>
      </w:r>
      <w:r>
        <w:rPr>
          <w:rFonts w:hint="eastAsia" w:ascii="仿宋_GB2312" w:hAnsi="仿宋"/>
          <w:szCs w:val="30"/>
        </w:rPr>
        <w:t>个二级分区</w:t>
      </w:r>
      <w:r>
        <w:rPr>
          <w:rFonts w:hint="eastAsia" w:ascii="仿宋_GB2312" w:hAnsi="仿宋"/>
          <w:szCs w:val="30"/>
          <w:lang w:val="en-US" w:eastAsia="zh-CN"/>
        </w:rPr>
        <w:t>。</w:t>
      </w:r>
    </w:p>
    <w:p w14:paraId="2191BBD3">
      <w:pPr>
        <w:keepNext w:val="0"/>
        <w:keepLines w:val="0"/>
        <w:widowControl/>
        <w:suppressLineNumbers w:val="0"/>
        <w:jc w:val="left"/>
        <w:rPr>
          <w:rFonts w:hint="default" w:ascii="Times New Roman" w:hAnsi="Times New Roman" w:cs="Times New Roman"/>
          <w:szCs w:val="30"/>
          <w:lang w:val="en-US" w:eastAsia="zh-CN"/>
        </w:rPr>
      </w:pPr>
      <w:r>
        <w:rPr>
          <w:rFonts w:ascii="仿宋_GB2312" w:hAnsi="宋体" w:eastAsia="仿宋_GB2312" w:cs="仿宋_GB2312"/>
          <w:color w:val="000000"/>
          <w:kern w:val="0"/>
          <w:sz w:val="30"/>
          <w:szCs w:val="30"/>
          <w:lang w:val="en-US" w:eastAsia="zh-CN" w:bidi="ar"/>
        </w:rPr>
        <w:t>乡村发展区按照一般农业区</w:t>
      </w:r>
      <w:r>
        <w:rPr>
          <w:rFonts w:hint="eastAsia" w:ascii="仿宋_GB2312" w:hAnsi="宋体" w:cs="仿宋_GB2312"/>
          <w:color w:val="000000"/>
          <w:kern w:val="0"/>
          <w:sz w:val="30"/>
          <w:szCs w:val="30"/>
          <w:lang w:val="en-US" w:eastAsia="zh-CN" w:bidi="ar"/>
        </w:rPr>
        <w:t>、</w:t>
      </w:r>
      <w:r>
        <w:rPr>
          <w:rFonts w:ascii="仿宋_GB2312" w:hAnsi="宋体" w:eastAsia="仿宋_GB2312" w:cs="仿宋_GB2312"/>
          <w:color w:val="000000"/>
          <w:kern w:val="0"/>
          <w:sz w:val="30"/>
          <w:szCs w:val="30"/>
          <w:lang w:val="en-US" w:eastAsia="zh-CN" w:bidi="ar"/>
        </w:rPr>
        <w:t>村</w:t>
      </w:r>
      <w:r>
        <w:rPr>
          <w:rFonts w:hint="eastAsia" w:ascii="仿宋_GB2312" w:hAnsi="宋体" w:eastAsia="仿宋_GB2312" w:cs="仿宋_GB2312"/>
          <w:color w:val="000000"/>
          <w:kern w:val="0"/>
          <w:sz w:val="30"/>
          <w:szCs w:val="30"/>
          <w:lang w:val="en-US" w:eastAsia="zh-CN" w:bidi="ar"/>
        </w:rPr>
        <w:t>庄建设区</w:t>
      </w:r>
      <w:r>
        <w:rPr>
          <w:rFonts w:hint="eastAsia" w:ascii="仿宋_GB2312" w:hAnsi="宋体" w:cs="仿宋_GB2312"/>
          <w:color w:val="000000"/>
          <w:kern w:val="0"/>
          <w:sz w:val="30"/>
          <w:szCs w:val="30"/>
          <w:lang w:val="en-US" w:eastAsia="zh-CN" w:bidi="ar"/>
        </w:rPr>
        <w:t>和</w:t>
      </w:r>
      <w:r>
        <w:rPr>
          <w:rFonts w:ascii="仿宋_GB2312" w:hAnsi="宋体" w:eastAsia="仿宋_GB2312" w:cs="仿宋_GB2312"/>
          <w:color w:val="000000"/>
          <w:kern w:val="0"/>
          <w:sz w:val="30"/>
          <w:szCs w:val="30"/>
          <w:lang w:val="en-US" w:eastAsia="zh-CN" w:bidi="ar"/>
        </w:rPr>
        <w:t>林业发展区</w:t>
      </w:r>
      <w:r>
        <w:rPr>
          <w:rFonts w:hint="eastAsia" w:ascii="仿宋_GB2312" w:hAnsi="宋体" w:eastAsia="仿宋_GB2312" w:cs="仿宋_GB2312"/>
          <w:color w:val="000000"/>
          <w:kern w:val="0"/>
          <w:sz w:val="30"/>
          <w:szCs w:val="30"/>
          <w:lang w:val="en-US" w:eastAsia="zh-CN" w:bidi="ar"/>
        </w:rPr>
        <w:t>分类进行管控。</w:t>
      </w:r>
    </w:p>
    <w:p w14:paraId="2ADEA230">
      <w:pPr>
        <w:keepNext w:val="0"/>
        <w:keepLines w:val="0"/>
        <w:widowControl/>
        <w:suppressLineNumbers w:val="0"/>
        <w:jc w:val="left"/>
        <w:rPr>
          <w:rFonts w:hint="eastAsia" w:ascii="Times New Roman" w:hAnsi="Times New Roman" w:eastAsia="仿宋_GB2312" w:cs="Times New Roman"/>
          <w:szCs w:val="30"/>
          <w:lang w:val="en-US" w:eastAsia="zh-CN"/>
        </w:rPr>
      </w:pPr>
      <w:r>
        <w:rPr>
          <w:rFonts w:hint="eastAsia" w:ascii="Times New Roman" w:hAnsi="Times New Roman" w:cs="Times New Roman"/>
          <w:b w:val="0"/>
          <w:bCs w:val="0"/>
          <w:szCs w:val="30"/>
          <w:highlight w:val="none"/>
          <w:lang w:val="en-US" w:eastAsia="zh-CN"/>
        </w:rPr>
        <w:t>一般农业区面积678.07公顷，</w:t>
      </w:r>
      <w:r>
        <w:rPr>
          <w:rFonts w:ascii="仿宋_GB2312" w:hAnsi="宋体" w:eastAsia="仿宋_GB2312" w:cs="仿宋_GB2312"/>
          <w:color w:val="000000"/>
          <w:kern w:val="0"/>
          <w:sz w:val="30"/>
          <w:szCs w:val="30"/>
          <w:lang w:val="en-US" w:eastAsia="zh-CN" w:bidi="ar"/>
        </w:rPr>
        <w:t>区内土地主要用作农业生产和直接为农</w:t>
      </w:r>
      <w:r>
        <w:rPr>
          <w:rFonts w:hint="eastAsia" w:ascii="仿宋_GB2312" w:hAnsi="宋体" w:eastAsia="仿宋_GB2312" w:cs="仿宋_GB2312"/>
          <w:color w:val="000000"/>
          <w:kern w:val="0"/>
          <w:sz w:val="30"/>
          <w:szCs w:val="30"/>
          <w:lang w:val="en-US" w:eastAsia="zh-CN" w:bidi="ar"/>
        </w:rPr>
        <w:t>业服务的设施使用</w:t>
      </w:r>
      <w:r>
        <w:rPr>
          <w:rFonts w:hint="eastAsia" w:ascii="仿宋_GB2312" w:hAnsi="仿宋"/>
          <w:szCs w:val="30"/>
        </w:rPr>
        <w:t>。该区严格控制农用地转为建设用地，不得随意占用或荒芜农用地；严格保护该区域内的耕地，不得减少耕地面积，引导发展高效农业</w:t>
      </w:r>
      <w:r>
        <w:rPr>
          <w:rFonts w:hint="eastAsia" w:ascii="仿宋_GB2312" w:hAnsi="仿宋"/>
          <w:szCs w:val="30"/>
          <w:lang w:eastAsia="zh-CN"/>
        </w:rPr>
        <w:t>。</w:t>
      </w:r>
    </w:p>
    <w:p w14:paraId="7FB361B7">
      <w:pPr>
        <w:widowControl/>
        <w:ind w:firstLine="600"/>
        <w:rPr>
          <w:rFonts w:hint="eastAsia" w:ascii="仿宋_GB2312" w:hAnsi="仿宋"/>
          <w:szCs w:val="30"/>
          <w:lang w:eastAsia="zh-CN"/>
        </w:rPr>
      </w:pPr>
      <w:r>
        <w:rPr>
          <w:rFonts w:hint="eastAsia" w:ascii="Times New Roman" w:hAnsi="Times New Roman" w:cs="Times New Roman"/>
          <w:color w:val="000000" w:themeColor="text1"/>
          <w:szCs w:val="30"/>
          <w:lang w:val="en-US" w:eastAsia="zh-CN"/>
          <w14:textFill>
            <w14:solidFill>
              <w14:schemeClr w14:val="tx1"/>
            </w14:solidFill>
          </w14:textFill>
        </w:rPr>
        <w:t>村庄建设区面积60.98公顷，依据村庄建设边界划定村庄建设区，</w:t>
      </w:r>
      <w:r>
        <w:rPr>
          <w:rFonts w:hint="eastAsia" w:ascii="Times New Roman" w:hAnsi="Times New Roman" w:cs="Times New Roman"/>
          <w:color w:val="000000" w:themeColor="text1"/>
          <w:szCs w:val="30"/>
          <w14:textFill>
            <w14:solidFill>
              <w14:schemeClr w14:val="tx1"/>
            </w14:solidFill>
          </w14:textFill>
        </w:rPr>
        <w:t>是规划期内可以进行村庄开发建设及需</w:t>
      </w:r>
      <w:r>
        <w:rPr>
          <w:rFonts w:hint="eastAsia" w:ascii="Times New Roman" w:hAnsi="Times New Roman" w:cs="Times New Roman"/>
          <w:szCs w:val="30"/>
        </w:rPr>
        <w:t>要重点管控的国土空间范围，是规划相对集中的农村居民点建设用地以及因村庄建设和发展需要必须实行规划控制的区域</w:t>
      </w:r>
      <w:r>
        <w:rPr>
          <w:rFonts w:hint="eastAsia" w:ascii="仿宋_GB2312" w:hAnsi="仿宋" w:cs="Times New Roman"/>
          <w:szCs w:val="30"/>
        </w:rPr>
        <w:t>。</w:t>
      </w:r>
      <w:r>
        <w:rPr>
          <w:rFonts w:hint="eastAsia" w:ascii="Times New Roman" w:hAnsi="Times New Roman" w:cs="Times New Roman"/>
          <w:szCs w:val="30"/>
          <w:lang w:val="en-US" w:eastAsia="zh-CN"/>
        </w:rPr>
        <w:t>区内土地主要用于村民居民点建设。</w:t>
      </w:r>
      <w:r>
        <w:rPr>
          <w:rFonts w:hint="eastAsia" w:ascii="仿宋_GB2312" w:hAnsi="仿宋"/>
          <w:szCs w:val="30"/>
        </w:rPr>
        <w:t>允许农业和乡村特色产业发展及其配套设施建设，鼓励公共服务设施共建共享；除农民宅基地和必要农业生产设施，村庄建设区外不安排其他产业用地</w:t>
      </w:r>
      <w:r>
        <w:rPr>
          <w:rFonts w:hint="eastAsia" w:ascii="仿宋_GB2312" w:hAnsi="仿宋"/>
          <w:szCs w:val="30"/>
          <w:lang w:eastAsia="zh-CN"/>
        </w:rPr>
        <w:t>。</w:t>
      </w:r>
    </w:p>
    <w:p w14:paraId="1A9A960F">
      <w:pPr>
        <w:ind w:firstLine="600"/>
        <w:rPr>
          <w:rFonts w:hint="eastAsia" w:ascii="Times New Roman" w:hAnsi="Times New Roman"/>
          <w:color w:val="000000" w:themeColor="text1"/>
          <w:szCs w:val="30"/>
          <w14:textFill>
            <w14:solidFill>
              <w14:schemeClr w14:val="tx1"/>
            </w14:solidFill>
          </w14:textFill>
        </w:rPr>
      </w:pPr>
      <w:r>
        <w:rPr>
          <w:rFonts w:hint="eastAsia" w:ascii="仿宋_GB2312" w:hAnsi="仿宋"/>
          <w:szCs w:val="30"/>
          <w:lang w:val="en-US" w:eastAsia="zh-CN"/>
        </w:rPr>
        <w:t>林业发展区面</w:t>
      </w:r>
      <w:r>
        <w:rPr>
          <w:rFonts w:hint="eastAsia" w:ascii="Times New Roman" w:hAnsi="Times New Roman" w:cs="Times New Roman"/>
          <w:szCs w:val="30"/>
          <w:lang w:val="en-US" w:eastAsia="zh-CN"/>
        </w:rPr>
        <w:t>积4974.48公</w:t>
      </w:r>
      <w:r>
        <w:rPr>
          <w:rFonts w:hint="eastAsia" w:ascii="仿宋_GB2312" w:hAnsi="仿宋"/>
          <w:szCs w:val="30"/>
          <w:lang w:val="en-US" w:eastAsia="zh-CN"/>
        </w:rPr>
        <w:t>顷，</w:t>
      </w:r>
      <w:r>
        <w:rPr>
          <w:rFonts w:hint="eastAsia" w:ascii="Times New Roman" w:hAnsi="Times New Roman"/>
          <w:color w:val="000000" w:themeColor="text1"/>
          <w:szCs w:val="30"/>
          <w14:textFill>
            <w14:solidFill>
              <w14:schemeClr w14:val="tx1"/>
            </w14:solidFill>
          </w14:textFill>
        </w:rPr>
        <w:t>区内土地主要用于林业生产，区内耕地不经审批不得改变用途，区内非农业建设用地应适当调整为林地或其他类型的营林设施用地。</w:t>
      </w:r>
    </w:p>
    <w:p w14:paraId="4E1F68E2">
      <w:pPr>
        <w:ind w:firstLine="600"/>
        <w:outlineLvl w:val="2"/>
        <w:rPr>
          <w:rFonts w:hint="default" w:ascii="仿宋_GB2312" w:hAnsi="仿宋"/>
          <w:szCs w:val="30"/>
          <w:lang w:val="en-US" w:eastAsia="zh-CN"/>
        </w:rPr>
      </w:pPr>
      <w:r>
        <w:rPr>
          <w:rFonts w:hint="eastAsia" w:ascii="Times New Roman" w:hAnsi="Times New Roman" w:cs="Times New Roman"/>
          <w:b/>
          <w:bCs/>
          <w:szCs w:val="30"/>
          <w:highlight w:val="none"/>
          <w:lang w:val="en-US" w:eastAsia="zh-CN"/>
        </w:rPr>
        <w:t>（六）矿产能源发展区</w:t>
      </w:r>
    </w:p>
    <w:p w14:paraId="331C4242">
      <w:pPr>
        <w:widowControl/>
        <w:ind w:firstLine="600"/>
        <w:rPr>
          <w:rFonts w:hint="eastAsia" w:ascii="Times New Roman" w:hAnsi="Times New Roman" w:cs="Times New Roman"/>
          <w:szCs w:val="30"/>
          <w:lang w:val="en-US" w:eastAsia="zh-CN"/>
        </w:rPr>
      </w:pPr>
      <w:r>
        <w:rPr>
          <w:rFonts w:hint="eastAsia" w:ascii="仿宋_GB2312" w:hAnsi="仿宋"/>
          <w:szCs w:val="30"/>
          <w:lang w:val="en-US" w:eastAsia="zh-CN"/>
        </w:rPr>
        <w:t>红花铺镇矿产能源发展区</w:t>
      </w:r>
      <w:r>
        <w:rPr>
          <w:rFonts w:hint="eastAsia" w:ascii="Times New Roman" w:hAnsi="Times New Roman" w:cs="Times New Roman"/>
          <w:szCs w:val="30"/>
          <w:lang w:val="en-US" w:eastAsia="zh-CN"/>
        </w:rPr>
        <w:t>29.94公顷，主要涉及</w:t>
      </w:r>
      <w:r>
        <w:rPr>
          <w:rFonts w:hint="eastAsia" w:ascii="仿宋_GB2312" w:hAnsi="宋体" w:cs="仿宋_GB2312"/>
          <w:color w:val="000000"/>
          <w:kern w:val="0"/>
          <w:sz w:val="30"/>
          <w:szCs w:val="30"/>
          <w:lang w:val="en-US" w:eastAsia="zh-CN" w:bidi="ar"/>
        </w:rPr>
        <w:t>红花铺村、草凉驿村</w:t>
      </w:r>
      <w:r>
        <w:rPr>
          <w:rFonts w:hint="eastAsia" w:ascii="Times New Roman" w:hAnsi="Times New Roman" w:cs="Times New Roman"/>
          <w:szCs w:val="30"/>
          <w:lang w:val="en-US" w:eastAsia="zh-CN"/>
        </w:rPr>
        <w:t>等区域。</w:t>
      </w:r>
    </w:p>
    <w:p w14:paraId="20BAFE97">
      <w:pPr>
        <w:ind w:firstLine="600"/>
        <w:rPr>
          <w:rFonts w:ascii="Times New Roman" w:hAnsi="Times New Roman" w:cs="Times New Roman"/>
          <w:szCs w:val="30"/>
        </w:rPr>
      </w:pPr>
      <w:r>
        <w:rPr>
          <w:rFonts w:ascii="仿宋_GB2312" w:hAnsi="宋体" w:eastAsia="仿宋_GB2312" w:cs="仿宋_GB2312"/>
          <w:color w:val="000000"/>
          <w:kern w:val="0"/>
          <w:sz w:val="30"/>
          <w:szCs w:val="30"/>
          <w:lang w:val="en-US" w:eastAsia="zh-CN" w:bidi="ar"/>
        </w:rPr>
        <w:t>区内以矿产资源开发保护为主要用途。应严格</w:t>
      </w:r>
      <w:r>
        <w:rPr>
          <w:rFonts w:hint="eastAsia" w:ascii="仿宋_GB2312" w:hAnsi="宋体" w:eastAsia="仿宋_GB2312" w:cs="仿宋_GB2312"/>
          <w:color w:val="000000"/>
          <w:kern w:val="0"/>
          <w:sz w:val="30"/>
          <w:szCs w:val="30"/>
          <w:lang w:val="en-US" w:eastAsia="zh-CN" w:bidi="ar"/>
        </w:rPr>
        <w:t>规范、限制采矿活动，按照科学化的开采方式、环保化的生产工艺开采矿产，避免破坏生态环境，</w:t>
      </w:r>
      <w:r>
        <w:rPr>
          <w:rFonts w:hint="eastAsia" w:ascii="Times New Roman" w:hAnsi="Times New Roman" w:cs="Times New Roman"/>
          <w:szCs w:val="30"/>
        </w:rPr>
        <w:t>保障生态安全</w:t>
      </w:r>
      <w:r>
        <w:rPr>
          <w:rFonts w:hint="eastAsia" w:ascii="Times New Roman" w:hAnsi="Times New Roman" w:cs="Times New Roman"/>
          <w:szCs w:val="30"/>
          <w:lang w:eastAsia="zh-CN"/>
        </w:rPr>
        <w:t>。</w:t>
      </w:r>
      <w:r>
        <w:rPr>
          <w:rFonts w:hint="eastAsia" w:ascii="Times New Roman" w:hAnsi="Times New Roman" w:cs="Times New Roman"/>
          <w:szCs w:val="30"/>
        </w:rPr>
        <w:t>将符合条件的大中型矿山全部建设绿色矿山，小型矿山按照绿色矿山标准进行规范管理。</w:t>
      </w:r>
    </w:p>
    <w:p w14:paraId="541A843C">
      <w:pPr>
        <w:pStyle w:val="4"/>
        <w:numPr>
          <w:ilvl w:val="0"/>
          <w:numId w:val="3"/>
        </w:numPr>
        <w:spacing w:before="204" w:after="81"/>
        <w:ind w:firstLine="0" w:firstLineChars="0"/>
        <w:rPr>
          <w:rFonts w:ascii="Times New Roman" w:hAnsi="Times New Roman" w:cs="Times New Roman"/>
        </w:rPr>
      </w:pPr>
      <w:r>
        <w:rPr>
          <w:rFonts w:ascii="Times New Roman" w:hAnsi="Times New Roman" w:cs="Times New Roman"/>
        </w:rPr>
        <w:t xml:space="preserve"> </w:t>
      </w:r>
      <w:bookmarkStart w:id="44" w:name="_Toc29789"/>
      <w:bookmarkStart w:id="45" w:name="_Toc32047"/>
      <w:r>
        <w:rPr>
          <w:rFonts w:hint="eastAsia" w:ascii="Times New Roman" w:hAnsi="Times New Roman" w:cs="Times New Roman"/>
        </w:rPr>
        <w:t>用地结构调整与布局优化</w:t>
      </w:r>
      <w:bookmarkEnd w:id="44"/>
      <w:bookmarkEnd w:id="45"/>
    </w:p>
    <w:p w14:paraId="4FE1ED95">
      <w:pPr>
        <w:pStyle w:val="5"/>
        <w:widowControl w:val="0"/>
        <w:numPr>
          <w:ilvl w:val="0"/>
          <w:numId w:val="4"/>
        </w:numPr>
        <w:tabs>
          <w:tab w:val="left" w:pos="420"/>
        </w:tabs>
        <w:spacing w:beforeAutospacing="1" w:line="240" w:lineRule="auto"/>
        <w:ind w:left="102" w:firstLine="602"/>
        <w:rPr>
          <w:rFonts w:ascii="仿宋_GB2312" w:hAnsi="仿宋" w:cs="Times New Roman"/>
          <w:szCs w:val="30"/>
        </w:rPr>
      </w:pPr>
      <w:bookmarkStart w:id="46" w:name="_Toc493939664"/>
      <w:r>
        <w:rPr>
          <w:rFonts w:hint="eastAsia" w:ascii="仿宋_GB2312" w:hAnsi="仿宋" w:cs="Times New Roman"/>
          <w:szCs w:val="30"/>
          <w:lang w:val="en-US" w:eastAsia="zh-CN"/>
        </w:rPr>
        <w:t>土地利用结构调整</w:t>
      </w:r>
    </w:p>
    <w:p w14:paraId="0DC58E0B">
      <w:pPr>
        <w:widowControl w:val="0"/>
        <w:numPr>
          <w:ilvl w:val="0"/>
          <w:numId w:val="0"/>
        </w:numPr>
        <w:bidi w:val="0"/>
        <w:ind w:firstLine="600" w:firstLineChars="200"/>
        <w:outlineLvl w:val="3"/>
        <w:rPr>
          <w:rFonts w:hint="eastAsia" w:ascii="Times New Roman" w:hAnsi="Times New Roman" w:cs="Times New Roman"/>
          <w:szCs w:val="24"/>
          <w:lang w:val="en-US" w:eastAsia="zh-CN"/>
        </w:rPr>
      </w:pPr>
      <w:r>
        <w:rPr>
          <w:rFonts w:hint="eastAsia" w:ascii="Times New Roman" w:hAnsi="Times New Roman" w:eastAsia="仿宋_GB2312" w:cs="Times New Roman"/>
          <w:kern w:val="2"/>
          <w:sz w:val="30"/>
          <w:szCs w:val="24"/>
          <w:lang w:val="en-US" w:eastAsia="zh-CN" w:bidi="ar-SA"/>
        </w:rPr>
        <w:t>（一）</w:t>
      </w:r>
      <w:r>
        <w:rPr>
          <w:rFonts w:hint="eastAsia" w:ascii="Times New Roman" w:hAnsi="Times New Roman" w:cs="Times New Roman"/>
          <w:szCs w:val="24"/>
          <w:lang w:val="en-US" w:eastAsia="zh-CN"/>
        </w:rPr>
        <w:t>农用地</w:t>
      </w:r>
      <w:bookmarkEnd w:id="46"/>
    </w:p>
    <w:p w14:paraId="3DBCE635">
      <w:pPr>
        <w:ind w:firstLine="600"/>
        <w:rPr>
          <w:rFonts w:ascii="Times New Roman" w:hAnsi="Times New Roman" w:cs="Times New Roman"/>
          <w:szCs w:val="30"/>
        </w:rPr>
      </w:pPr>
      <w:r>
        <w:rPr>
          <w:rFonts w:ascii="Times New Roman" w:hAnsi="Times New Roman" w:cs="Times New Roman"/>
          <w:szCs w:val="30"/>
        </w:rPr>
        <w:t>农用地由2020年的</w:t>
      </w:r>
      <w:r>
        <w:rPr>
          <w:rFonts w:hint="eastAsia" w:ascii="Times New Roman" w:hAnsi="Times New Roman" w:cs="Times New Roman"/>
          <w:szCs w:val="30"/>
          <w:lang w:val="en-US" w:eastAsia="zh-CN"/>
        </w:rPr>
        <w:t>22647.94</w:t>
      </w:r>
      <w:r>
        <w:rPr>
          <w:rFonts w:ascii="Times New Roman" w:hAnsi="Times New Roman" w:cs="Times New Roman"/>
          <w:szCs w:val="30"/>
        </w:rPr>
        <w:t>公顷，调整为2035年的</w:t>
      </w:r>
      <w:r>
        <w:rPr>
          <w:rFonts w:hint="eastAsia" w:ascii="Times New Roman" w:hAnsi="Times New Roman" w:cs="Times New Roman"/>
          <w:szCs w:val="30"/>
          <w:lang w:val="en-US" w:eastAsia="zh-CN"/>
        </w:rPr>
        <w:t>22644.06</w:t>
      </w:r>
      <w:r>
        <w:rPr>
          <w:rFonts w:ascii="Times New Roman" w:hAnsi="Times New Roman" w:cs="Times New Roman"/>
          <w:szCs w:val="30"/>
        </w:rPr>
        <w:t>公顷，占土地总面积比例由9</w:t>
      </w:r>
      <w:r>
        <w:rPr>
          <w:rFonts w:hint="eastAsia" w:ascii="Times New Roman" w:hAnsi="Times New Roman" w:cs="Times New Roman"/>
          <w:szCs w:val="30"/>
          <w:lang w:val="en-US" w:eastAsia="zh-CN"/>
        </w:rPr>
        <w:t>8.07</w:t>
      </w:r>
      <w:r>
        <w:rPr>
          <w:rFonts w:ascii="Times New Roman" w:hAnsi="Times New Roman" w:cs="Times New Roman"/>
          <w:szCs w:val="30"/>
        </w:rPr>
        <w:t>%调整为9</w:t>
      </w:r>
      <w:r>
        <w:rPr>
          <w:rFonts w:hint="eastAsia" w:ascii="Times New Roman" w:hAnsi="Times New Roman" w:cs="Times New Roman"/>
          <w:szCs w:val="30"/>
          <w:lang w:val="en-US" w:eastAsia="zh-CN"/>
        </w:rPr>
        <w:t>8.05</w:t>
      </w:r>
      <w:r>
        <w:rPr>
          <w:rFonts w:ascii="Times New Roman" w:hAnsi="Times New Roman" w:cs="Times New Roman"/>
          <w:szCs w:val="30"/>
        </w:rPr>
        <w:t>%。其中耕地规模从规划基期的</w:t>
      </w:r>
      <w:r>
        <w:rPr>
          <w:rFonts w:hint="eastAsia" w:ascii="Times New Roman" w:hAnsi="Times New Roman" w:cs="Times New Roman"/>
          <w:szCs w:val="30"/>
          <w:lang w:val="en-US" w:eastAsia="zh-CN"/>
        </w:rPr>
        <w:t>187.53</w:t>
      </w:r>
      <w:r>
        <w:rPr>
          <w:rFonts w:ascii="Times New Roman" w:hAnsi="Times New Roman" w:cs="Times New Roman"/>
          <w:szCs w:val="30"/>
        </w:rPr>
        <w:t>公顷</w:t>
      </w:r>
      <w:r>
        <w:rPr>
          <w:rFonts w:hint="eastAsia" w:ascii="Times New Roman" w:hAnsi="Times New Roman" w:cs="Times New Roman"/>
          <w:szCs w:val="30"/>
          <w:lang w:eastAsia="zh-CN"/>
        </w:rPr>
        <w:t>增加</w:t>
      </w:r>
      <w:r>
        <w:rPr>
          <w:rFonts w:ascii="Times New Roman" w:hAnsi="Times New Roman" w:cs="Times New Roman"/>
          <w:szCs w:val="30"/>
        </w:rPr>
        <w:t>到</w:t>
      </w:r>
      <w:r>
        <w:rPr>
          <w:rFonts w:hint="eastAsia" w:ascii="Times New Roman" w:hAnsi="Times New Roman" w:cs="Times New Roman"/>
          <w:szCs w:val="30"/>
          <w:lang w:val="en-US" w:eastAsia="zh-CN"/>
        </w:rPr>
        <w:t>207.71</w:t>
      </w:r>
      <w:r>
        <w:rPr>
          <w:rFonts w:ascii="Times New Roman" w:hAnsi="Times New Roman" w:cs="Times New Roman"/>
          <w:szCs w:val="30"/>
        </w:rPr>
        <w:t>公顷；园地规模从规划基期的</w:t>
      </w:r>
      <w:r>
        <w:rPr>
          <w:rFonts w:hint="eastAsia" w:ascii="Times New Roman" w:hAnsi="Times New Roman" w:cs="Times New Roman"/>
          <w:szCs w:val="30"/>
          <w:lang w:val="en-US" w:eastAsia="zh-CN"/>
        </w:rPr>
        <w:t>625.32</w:t>
      </w:r>
      <w:r>
        <w:rPr>
          <w:rFonts w:ascii="Times New Roman" w:hAnsi="Times New Roman" w:cs="Times New Roman"/>
          <w:szCs w:val="30"/>
        </w:rPr>
        <w:t>公顷降低到</w:t>
      </w:r>
      <w:r>
        <w:rPr>
          <w:rFonts w:hint="eastAsia" w:ascii="Times New Roman" w:hAnsi="Times New Roman" w:cs="Times New Roman"/>
          <w:szCs w:val="30"/>
          <w:lang w:val="en-US" w:eastAsia="zh-CN"/>
        </w:rPr>
        <w:t>601.00</w:t>
      </w:r>
      <w:r>
        <w:rPr>
          <w:rFonts w:ascii="Times New Roman" w:hAnsi="Times New Roman" w:cs="Times New Roman"/>
          <w:szCs w:val="30"/>
        </w:rPr>
        <w:t>公顷；林地规模从规划基期的2</w:t>
      </w:r>
      <w:r>
        <w:rPr>
          <w:rFonts w:hint="eastAsia" w:ascii="Times New Roman" w:hAnsi="Times New Roman" w:cs="Times New Roman"/>
          <w:szCs w:val="30"/>
          <w:lang w:val="en-US" w:eastAsia="zh-CN"/>
        </w:rPr>
        <w:t>1696</w:t>
      </w:r>
      <w:r>
        <w:rPr>
          <w:rFonts w:ascii="Times New Roman" w:hAnsi="Times New Roman" w:cs="Times New Roman"/>
          <w:szCs w:val="30"/>
        </w:rPr>
        <w:t>.</w:t>
      </w:r>
      <w:r>
        <w:rPr>
          <w:rFonts w:hint="eastAsia" w:ascii="Times New Roman" w:hAnsi="Times New Roman" w:cs="Times New Roman"/>
          <w:szCs w:val="30"/>
          <w:lang w:val="en-US" w:eastAsia="zh-CN"/>
        </w:rPr>
        <w:t>21</w:t>
      </w:r>
      <w:r>
        <w:rPr>
          <w:rFonts w:ascii="Times New Roman" w:hAnsi="Times New Roman" w:cs="Times New Roman"/>
          <w:szCs w:val="30"/>
        </w:rPr>
        <w:t>公顷降低到2</w:t>
      </w:r>
      <w:r>
        <w:rPr>
          <w:rFonts w:hint="eastAsia" w:ascii="Times New Roman" w:hAnsi="Times New Roman" w:cs="Times New Roman"/>
          <w:szCs w:val="30"/>
          <w:lang w:val="en-US" w:eastAsia="zh-CN"/>
        </w:rPr>
        <w:t>1691.99</w:t>
      </w:r>
      <w:r>
        <w:rPr>
          <w:rFonts w:ascii="Times New Roman" w:hAnsi="Times New Roman" w:cs="Times New Roman"/>
          <w:szCs w:val="30"/>
        </w:rPr>
        <w:t>公顷；牧草地规模从规划基期的6</w:t>
      </w:r>
      <w:r>
        <w:rPr>
          <w:rFonts w:hint="eastAsia" w:ascii="Times New Roman" w:hAnsi="Times New Roman" w:cs="Times New Roman"/>
          <w:szCs w:val="30"/>
          <w:lang w:val="en-US" w:eastAsia="zh-CN"/>
        </w:rPr>
        <w:t>8.97</w:t>
      </w:r>
      <w:r>
        <w:rPr>
          <w:rFonts w:ascii="Times New Roman" w:hAnsi="Times New Roman" w:cs="Times New Roman"/>
          <w:szCs w:val="30"/>
        </w:rPr>
        <w:t>公顷降低到6</w:t>
      </w:r>
      <w:r>
        <w:rPr>
          <w:rFonts w:hint="eastAsia" w:ascii="Times New Roman" w:hAnsi="Times New Roman" w:cs="Times New Roman"/>
          <w:szCs w:val="30"/>
          <w:lang w:val="en-US" w:eastAsia="zh-CN"/>
        </w:rPr>
        <w:t>8.64</w:t>
      </w:r>
      <w:r>
        <w:rPr>
          <w:rFonts w:ascii="Times New Roman" w:hAnsi="Times New Roman" w:cs="Times New Roman"/>
          <w:szCs w:val="30"/>
        </w:rPr>
        <w:t>公顷；其他农用地从规划基期的</w:t>
      </w:r>
      <w:r>
        <w:rPr>
          <w:rFonts w:hint="eastAsia" w:ascii="Times New Roman" w:hAnsi="Times New Roman" w:cs="Times New Roman"/>
          <w:szCs w:val="30"/>
          <w:lang w:val="en-US" w:eastAsia="zh-CN"/>
        </w:rPr>
        <w:t>69.91</w:t>
      </w:r>
      <w:r>
        <w:rPr>
          <w:rFonts w:ascii="Times New Roman" w:hAnsi="Times New Roman" w:cs="Times New Roman"/>
          <w:szCs w:val="30"/>
        </w:rPr>
        <w:t>公顷</w:t>
      </w:r>
      <w:r>
        <w:rPr>
          <w:rFonts w:hint="eastAsia" w:ascii="Times New Roman" w:hAnsi="Times New Roman" w:cs="Times New Roman"/>
          <w:szCs w:val="30"/>
          <w:lang w:eastAsia="zh-CN"/>
        </w:rPr>
        <w:t>增加</w:t>
      </w:r>
      <w:r>
        <w:rPr>
          <w:rFonts w:ascii="Times New Roman" w:hAnsi="Times New Roman" w:cs="Times New Roman"/>
          <w:szCs w:val="30"/>
        </w:rPr>
        <w:t>到</w:t>
      </w:r>
      <w:r>
        <w:rPr>
          <w:rFonts w:hint="eastAsia" w:ascii="Times New Roman" w:hAnsi="Times New Roman" w:cs="Times New Roman"/>
          <w:szCs w:val="30"/>
          <w:lang w:val="en-US" w:eastAsia="zh-CN"/>
        </w:rPr>
        <w:t>74.72</w:t>
      </w:r>
      <w:r>
        <w:rPr>
          <w:rFonts w:ascii="Times New Roman" w:hAnsi="Times New Roman" w:cs="Times New Roman"/>
          <w:szCs w:val="30"/>
        </w:rPr>
        <w:t>公顷。</w:t>
      </w:r>
    </w:p>
    <w:p w14:paraId="5E82B435">
      <w:pPr>
        <w:widowControl w:val="0"/>
        <w:numPr>
          <w:ilvl w:val="0"/>
          <w:numId w:val="0"/>
        </w:numPr>
        <w:bidi w:val="0"/>
        <w:ind w:firstLine="600" w:firstLineChars="200"/>
        <w:outlineLvl w:val="3"/>
        <w:rPr>
          <w:rFonts w:hint="eastAsia" w:ascii="Times New Roman" w:hAnsi="Times New Roman" w:cs="Times New Roman"/>
          <w:szCs w:val="24"/>
          <w:lang w:val="en-US" w:eastAsia="zh-CN"/>
        </w:rPr>
      </w:pPr>
      <w:r>
        <w:rPr>
          <w:rFonts w:hint="eastAsia" w:ascii="Times New Roman" w:hAnsi="Times New Roman" w:eastAsia="仿宋_GB2312" w:cs="Times New Roman"/>
          <w:kern w:val="2"/>
          <w:sz w:val="30"/>
          <w:szCs w:val="24"/>
          <w:lang w:val="en-US" w:eastAsia="zh-CN" w:bidi="ar-SA"/>
        </w:rPr>
        <w:t>（二）</w:t>
      </w:r>
      <w:r>
        <w:rPr>
          <w:rFonts w:hint="eastAsia" w:ascii="Times New Roman" w:hAnsi="Times New Roman" w:cs="Times New Roman"/>
          <w:szCs w:val="24"/>
          <w:lang w:val="en-US" w:eastAsia="zh-CN"/>
        </w:rPr>
        <w:t>建设用地</w:t>
      </w:r>
    </w:p>
    <w:p w14:paraId="2E373492">
      <w:pPr>
        <w:ind w:firstLine="600"/>
        <w:rPr>
          <w:rFonts w:ascii="Times New Roman" w:hAnsi="Times New Roman" w:cs="Times New Roman"/>
          <w:szCs w:val="30"/>
        </w:rPr>
      </w:pPr>
      <w:r>
        <w:rPr>
          <w:rFonts w:ascii="Times New Roman" w:hAnsi="Times New Roman" w:cs="Times New Roman"/>
          <w:szCs w:val="30"/>
        </w:rPr>
        <w:t>建设用地由2020年的</w:t>
      </w:r>
      <w:r>
        <w:rPr>
          <w:rFonts w:hint="eastAsia" w:ascii="Times New Roman" w:hAnsi="Times New Roman" w:cs="Times New Roman"/>
          <w:szCs w:val="30"/>
          <w:lang w:val="en-US" w:eastAsia="zh-CN"/>
        </w:rPr>
        <w:t>201.11</w:t>
      </w:r>
      <w:r>
        <w:rPr>
          <w:rFonts w:ascii="Times New Roman" w:hAnsi="Times New Roman" w:cs="Times New Roman"/>
          <w:szCs w:val="30"/>
        </w:rPr>
        <w:t>公顷，调整为2035年的</w:t>
      </w:r>
      <w:r>
        <w:rPr>
          <w:rFonts w:hint="eastAsia" w:ascii="Times New Roman" w:hAnsi="Times New Roman" w:cs="Times New Roman"/>
          <w:szCs w:val="30"/>
          <w:lang w:val="en-US" w:eastAsia="zh-CN"/>
        </w:rPr>
        <w:t>203.84</w:t>
      </w:r>
      <w:r>
        <w:rPr>
          <w:rFonts w:ascii="Times New Roman" w:hAnsi="Times New Roman" w:cs="Times New Roman"/>
          <w:szCs w:val="30"/>
        </w:rPr>
        <w:t>公顷，占土地总面积比例</w:t>
      </w:r>
      <w:r>
        <w:rPr>
          <w:rFonts w:hint="eastAsia" w:ascii="Times New Roman" w:hAnsi="Times New Roman" w:cs="Times New Roman"/>
          <w:szCs w:val="30"/>
          <w:lang w:eastAsia="zh-CN"/>
        </w:rPr>
        <w:t>基本保持不变为</w:t>
      </w:r>
      <w:r>
        <w:rPr>
          <w:rFonts w:hint="eastAsia" w:ascii="Times New Roman" w:hAnsi="Times New Roman" w:cs="Times New Roman"/>
          <w:szCs w:val="30"/>
          <w:lang w:val="en-US" w:eastAsia="zh-CN"/>
        </w:rPr>
        <w:t>0.88%</w:t>
      </w:r>
      <w:r>
        <w:rPr>
          <w:rFonts w:ascii="Times New Roman" w:hAnsi="Times New Roman" w:cs="Times New Roman"/>
          <w:szCs w:val="30"/>
        </w:rPr>
        <w:t>。其中城镇建设用地规模从规划基期的</w:t>
      </w:r>
      <w:r>
        <w:rPr>
          <w:rFonts w:hint="eastAsia" w:ascii="Times New Roman" w:hAnsi="Times New Roman" w:cs="Times New Roman"/>
          <w:szCs w:val="30"/>
          <w:lang w:val="en-US" w:eastAsia="zh-CN"/>
        </w:rPr>
        <w:t>10.32</w:t>
      </w:r>
      <w:r>
        <w:rPr>
          <w:rFonts w:ascii="Times New Roman" w:hAnsi="Times New Roman" w:cs="Times New Roman"/>
          <w:szCs w:val="30"/>
        </w:rPr>
        <w:t>公顷增加到</w:t>
      </w:r>
      <w:r>
        <w:rPr>
          <w:rFonts w:hint="eastAsia" w:ascii="Times New Roman" w:hAnsi="Times New Roman" w:cs="Times New Roman"/>
          <w:szCs w:val="30"/>
          <w:lang w:val="en-US" w:eastAsia="zh-CN"/>
        </w:rPr>
        <w:t>13.81</w:t>
      </w:r>
      <w:r>
        <w:rPr>
          <w:rFonts w:ascii="Times New Roman" w:hAnsi="Times New Roman" w:cs="Times New Roman"/>
          <w:szCs w:val="30"/>
        </w:rPr>
        <w:t>公顷，村庄建设用地规模从规划基期的</w:t>
      </w:r>
      <w:r>
        <w:rPr>
          <w:rFonts w:hint="eastAsia" w:ascii="Times New Roman" w:hAnsi="Times New Roman" w:cs="Times New Roman"/>
          <w:szCs w:val="30"/>
          <w:lang w:val="en-US" w:eastAsia="zh-CN"/>
        </w:rPr>
        <w:t>73.27</w:t>
      </w:r>
      <w:r>
        <w:rPr>
          <w:rFonts w:ascii="Times New Roman" w:hAnsi="Times New Roman" w:cs="Times New Roman"/>
          <w:szCs w:val="30"/>
        </w:rPr>
        <w:t>公顷</w:t>
      </w:r>
      <w:r>
        <w:rPr>
          <w:rFonts w:hint="eastAsia" w:ascii="Times New Roman" w:hAnsi="Times New Roman" w:cs="Times New Roman"/>
          <w:szCs w:val="30"/>
          <w:lang w:eastAsia="zh-CN"/>
        </w:rPr>
        <w:t>增加</w:t>
      </w:r>
      <w:r>
        <w:rPr>
          <w:rFonts w:ascii="Times New Roman" w:hAnsi="Times New Roman" w:cs="Times New Roman"/>
          <w:szCs w:val="30"/>
        </w:rPr>
        <w:t>到</w:t>
      </w:r>
      <w:r>
        <w:rPr>
          <w:rFonts w:hint="eastAsia" w:ascii="Times New Roman" w:hAnsi="Times New Roman" w:cs="Times New Roman"/>
          <w:szCs w:val="30"/>
          <w:lang w:val="en-US" w:eastAsia="zh-CN"/>
        </w:rPr>
        <w:t>76.03</w:t>
      </w:r>
      <w:r>
        <w:rPr>
          <w:rFonts w:ascii="Times New Roman" w:hAnsi="Times New Roman" w:cs="Times New Roman"/>
          <w:szCs w:val="30"/>
        </w:rPr>
        <w:t>公顷，区域基础设施用地从规划基期的</w:t>
      </w:r>
      <w:r>
        <w:rPr>
          <w:rFonts w:hint="eastAsia" w:ascii="Times New Roman" w:hAnsi="Times New Roman" w:cs="Times New Roman"/>
          <w:szCs w:val="30"/>
          <w:lang w:val="en-US" w:eastAsia="zh-CN"/>
        </w:rPr>
        <w:t>86.78</w:t>
      </w:r>
      <w:r>
        <w:rPr>
          <w:rFonts w:ascii="Times New Roman" w:hAnsi="Times New Roman" w:cs="Times New Roman"/>
          <w:szCs w:val="30"/>
        </w:rPr>
        <w:t>公顷</w:t>
      </w:r>
      <w:r>
        <w:rPr>
          <w:rFonts w:hint="eastAsia" w:ascii="Times New Roman" w:hAnsi="Times New Roman" w:cs="Times New Roman"/>
          <w:szCs w:val="30"/>
          <w:lang w:eastAsia="zh-CN"/>
        </w:rPr>
        <w:t>降低</w:t>
      </w:r>
      <w:r>
        <w:rPr>
          <w:rFonts w:ascii="Times New Roman" w:hAnsi="Times New Roman" w:cs="Times New Roman"/>
          <w:szCs w:val="30"/>
        </w:rPr>
        <w:t>到</w:t>
      </w:r>
      <w:r>
        <w:rPr>
          <w:rFonts w:hint="eastAsia" w:ascii="Times New Roman" w:hAnsi="Times New Roman" w:cs="Times New Roman"/>
          <w:szCs w:val="30"/>
          <w:lang w:val="en-US" w:eastAsia="zh-CN"/>
        </w:rPr>
        <w:t>85.97</w:t>
      </w:r>
      <w:r>
        <w:rPr>
          <w:rFonts w:ascii="Times New Roman" w:hAnsi="Times New Roman" w:cs="Times New Roman"/>
          <w:szCs w:val="30"/>
        </w:rPr>
        <w:t>公顷，其他建设用地从规划基期的</w:t>
      </w:r>
      <w:r>
        <w:rPr>
          <w:rFonts w:hint="eastAsia" w:ascii="Times New Roman" w:hAnsi="Times New Roman" w:cs="Times New Roman"/>
          <w:szCs w:val="30"/>
          <w:lang w:val="en-US" w:eastAsia="zh-CN"/>
        </w:rPr>
        <w:t>30.74</w:t>
      </w:r>
      <w:r>
        <w:rPr>
          <w:rFonts w:ascii="Times New Roman" w:hAnsi="Times New Roman" w:cs="Times New Roman"/>
          <w:szCs w:val="30"/>
        </w:rPr>
        <w:t>公顷降低到</w:t>
      </w:r>
      <w:r>
        <w:rPr>
          <w:rFonts w:hint="eastAsia" w:ascii="Times New Roman" w:hAnsi="Times New Roman" w:cs="Times New Roman"/>
          <w:szCs w:val="30"/>
          <w:lang w:val="en-US" w:eastAsia="zh-CN"/>
        </w:rPr>
        <w:t>28.03</w:t>
      </w:r>
      <w:r>
        <w:rPr>
          <w:rFonts w:ascii="Times New Roman" w:hAnsi="Times New Roman" w:cs="Times New Roman"/>
          <w:szCs w:val="30"/>
        </w:rPr>
        <w:t>公顷。</w:t>
      </w:r>
    </w:p>
    <w:p w14:paraId="4DE2C7EA">
      <w:pPr>
        <w:widowControl w:val="0"/>
        <w:numPr>
          <w:ilvl w:val="0"/>
          <w:numId w:val="0"/>
        </w:numPr>
        <w:bidi w:val="0"/>
        <w:ind w:firstLine="600" w:firstLineChars="200"/>
        <w:outlineLvl w:val="3"/>
        <w:rPr>
          <w:rFonts w:hint="eastAsia" w:ascii="Times New Roman" w:hAnsi="Times New Roman" w:cs="Times New Roman"/>
          <w:szCs w:val="24"/>
          <w:lang w:val="en-US" w:eastAsia="zh-CN"/>
        </w:rPr>
      </w:pPr>
      <w:r>
        <w:rPr>
          <w:rFonts w:hint="eastAsia" w:ascii="Times New Roman" w:hAnsi="Times New Roman" w:eastAsia="仿宋_GB2312" w:cs="Times New Roman"/>
          <w:kern w:val="2"/>
          <w:sz w:val="30"/>
          <w:szCs w:val="24"/>
          <w:lang w:val="en-US" w:eastAsia="zh-CN" w:bidi="ar-SA"/>
        </w:rPr>
        <w:t>（三）</w:t>
      </w:r>
      <w:r>
        <w:rPr>
          <w:rFonts w:hint="eastAsia" w:ascii="Times New Roman" w:hAnsi="Times New Roman" w:cs="Times New Roman"/>
          <w:szCs w:val="24"/>
          <w:lang w:val="en-US" w:eastAsia="zh-CN"/>
        </w:rPr>
        <w:t>其他用地</w:t>
      </w:r>
    </w:p>
    <w:p w14:paraId="7425ECB2">
      <w:pPr>
        <w:adjustRightInd w:val="0"/>
        <w:ind w:firstLine="600"/>
        <w:rPr>
          <w:rFonts w:ascii="Times New Roman" w:hAnsi="Times New Roman" w:cs="Times New Roman"/>
          <w:szCs w:val="30"/>
        </w:rPr>
      </w:pPr>
      <w:r>
        <w:rPr>
          <w:rFonts w:ascii="Times New Roman" w:hAnsi="Times New Roman" w:cs="Times New Roman"/>
          <w:szCs w:val="30"/>
        </w:rPr>
        <w:t>其他用地由2020年的</w:t>
      </w:r>
      <w:r>
        <w:rPr>
          <w:rFonts w:hint="eastAsia" w:ascii="Times New Roman" w:hAnsi="Times New Roman" w:cs="Times New Roman"/>
          <w:szCs w:val="30"/>
          <w:lang w:val="en-US" w:eastAsia="zh-CN"/>
        </w:rPr>
        <w:t>244.11</w:t>
      </w:r>
      <w:r>
        <w:rPr>
          <w:rFonts w:ascii="Times New Roman" w:hAnsi="Times New Roman" w:cs="Times New Roman"/>
          <w:szCs w:val="30"/>
        </w:rPr>
        <w:t>公顷，调整为2035年的</w:t>
      </w:r>
      <w:r>
        <w:rPr>
          <w:rFonts w:hint="eastAsia" w:ascii="Times New Roman" w:hAnsi="Times New Roman" w:cs="Times New Roman"/>
          <w:szCs w:val="30"/>
          <w:lang w:val="en-US" w:eastAsia="zh-CN"/>
        </w:rPr>
        <w:t>245.26</w:t>
      </w:r>
      <w:r>
        <w:rPr>
          <w:rFonts w:ascii="Times New Roman" w:hAnsi="Times New Roman" w:cs="Times New Roman"/>
          <w:szCs w:val="30"/>
        </w:rPr>
        <w:t>公顷，占土地总面积比例由1.0</w:t>
      </w:r>
      <w:r>
        <w:rPr>
          <w:rFonts w:hint="eastAsia" w:ascii="Times New Roman" w:hAnsi="Times New Roman" w:cs="Times New Roman"/>
          <w:szCs w:val="30"/>
          <w:lang w:val="en-US" w:eastAsia="zh-CN"/>
        </w:rPr>
        <w:t>5</w:t>
      </w:r>
      <w:r>
        <w:rPr>
          <w:rFonts w:ascii="Times New Roman" w:hAnsi="Times New Roman" w:cs="Times New Roman"/>
          <w:szCs w:val="30"/>
        </w:rPr>
        <w:t>%调整为1.0</w:t>
      </w:r>
      <w:r>
        <w:rPr>
          <w:rFonts w:hint="eastAsia" w:ascii="Times New Roman" w:hAnsi="Times New Roman" w:cs="Times New Roman"/>
          <w:szCs w:val="30"/>
          <w:lang w:val="en-US" w:eastAsia="zh-CN"/>
        </w:rPr>
        <w:t>7</w:t>
      </w:r>
      <w:r>
        <w:rPr>
          <w:rFonts w:ascii="Times New Roman" w:hAnsi="Times New Roman" w:cs="Times New Roman"/>
          <w:szCs w:val="30"/>
        </w:rPr>
        <w:t>%。其中陆地水域从规划基期的1</w:t>
      </w:r>
      <w:r>
        <w:rPr>
          <w:rFonts w:hint="eastAsia" w:ascii="Times New Roman" w:hAnsi="Times New Roman" w:cs="Times New Roman"/>
          <w:szCs w:val="30"/>
          <w:lang w:val="en-US" w:eastAsia="zh-CN"/>
        </w:rPr>
        <w:t>07.30</w:t>
      </w:r>
      <w:r>
        <w:rPr>
          <w:rFonts w:ascii="Times New Roman" w:hAnsi="Times New Roman" w:cs="Times New Roman"/>
          <w:szCs w:val="30"/>
        </w:rPr>
        <w:t>公顷</w:t>
      </w:r>
      <w:r>
        <w:rPr>
          <w:rFonts w:hint="eastAsia" w:ascii="Times New Roman" w:hAnsi="Times New Roman" w:cs="Times New Roman"/>
          <w:szCs w:val="30"/>
          <w:lang w:eastAsia="zh-CN"/>
        </w:rPr>
        <w:t>增加</w:t>
      </w:r>
      <w:r>
        <w:rPr>
          <w:rFonts w:ascii="Times New Roman" w:hAnsi="Times New Roman" w:cs="Times New Roman"/>
          <w:szCs w:val="30"/>
        </w:rPr>
        <w:t>到1</w:t>
      </w:r>
      <w:r>
        <w:rPr>
          <w:rFonts w:hint="eastAsia" w:ascii="Times New Roman" w:hAnsi="Times New Roman" w:cs="Times New Roman"/>
          <w:szCs w:val="30"/>
          <w:lang w:val="en-US" w:eastAsia="zh-CN"/>
        </w:rPr>
        <w:t>07.39</w:t>
      </w:r>
      <w:r>
        <w:rPr>
          <w:rFonts w:ascii="Times New Roman" w:hAnsi="Times New Roman" w:cs="Times New Roman"/>
          <w:szCs w:val="30"/>
        </w:rPr>
        <w:t>公顷，其他土地从规划基期的</w:t>
      </w:r>
      <w:r>
        <w:rPr>
          <w:rFonts w:hint="eastAsia" w:ascii="Times New Roman" w:hAnsi="Times New Roman" w:cs="Times New Roman"/>
          <w:szCs w:val="30"/>
          <w:lang w:val="en-US" w:eastAsia="zh-CN"/>
        </w:rPr>
        <w:t>27.73</w:t>
      </w:r>
      <w:r>
        <w:rPr>
          <w:rFonts w:ascii="Times New Roman" w:hAnsi="Times New Roman" w:cs="Times New Roman"/>
          <w:szCs w:val="30"/>
        </w:rPr>
        <w:t>公顷</w:t>
      </w:r>
      <w:r>
        <w:rPr>
          <w:rFonts w:hint="eastAsia" w:ascii="Times New Roman" w:hAnsi="Times New Roman" w:cs="Times New Roman"/>
          <w:szCs w:val="30"/>
          <w:lang w:eastAsia="zh-CN"/>
        </w:rPr>
        <w:t>增加</w:t>
      </w:r>
      <w:r>
        <w:rPr>
          <w:rFonts w:ascii="Times New Roman" w:hAnsi="Times New Roman" w:cs="Times New Roman"/>
          <w:szCs w:val="30"/>
        </w:rPr>
        <w:t>到</w:t>
      </w:r>
      <w:r>
        <w:rPr>
          <w:rFonts w:hint="eastAsia" w:ascii="Times New Roman" w:hAnsi="Times New Roman" w:cs="Times New Roman"/>
          <w:szCs w:val="30"/>
          <w:lang w:val="en-US" w:eastAsia="zh-CN"/>
        </w:rPr>
        <w:t>27.85</w:t>
      </w:r>
      <w:r>
        <w:rPr>
          <w:rFonts w:ascii="Times New Roman" w:hAnsi="Times New Roman" w:cs="Times New Roman"/>
          <w:szCs w:val="30"/>
        </w:rPr>
        <w:t>公顷，湿地（内陆滩涂）从规划基期的</w:t>
      </w:r>
      <w:r>
        <w:rPr>
          <w:rFonts w:hint="eastAsia" w:ascii="Times New Roman" w:hAnsi="Times New Roman" w:cs="Times New Roman"/>
          <w:szCs w:val="30"/>
          <w:lang w:val="en-US" w:eastAsia="zh-CN"/>
        </w:rPr>
        <w:t>109.08</w:t>
      </w:r>
      <w:r>
        <w:rPr>
          <w:rFonts w:ascii="Times New Roman" w:hAnsi="Times New Roman" w:cs="Times New Roman"/>
          <w:szCs w:val="30"/>
        </w:rPr>
        <w:t>公顷</w:t>
      </w:r>
      <w:r>
        <w:rPr>
          <w:rFonts w:hint="eastAsia" w:ascii="Times New Roman" w:hAnsi="Times New Roman" w:cs="Times New Roman"/>
          <w:szCs w:val="30"/>
          <w:lang w:eastAsia="zh-CN"/>
        </w:rPr>
        <w:t>增加</w:t>
      </w:r>
      <w:r>
        <w:rPr>
          <w:rFonts w:ascii="Times New Roman" w:hAnsi="Times New Roman" w:cs="Times New Roman"/>
          <w:szCs w:val="30"/>
        </w:rPr>
        <w:t>到</w:t>
      </w:r>
      <w:r>
        <w:rPr>
          <w:rFonts w:hint="eastAsia" w:ascii="Times New Roman" w:hAnsi="Times New Roman" w:cs="Times New Roman"/>
          <w:szCs w:val="30"/>
          <w:lang w:val="en-US" w:eastAsia="zh-CN"/>
        </w:rPr>
        <w:t>110.02</w:t>
      </w:r>
      <w:r>
        <w:rPr>
          <w:rFonts w:ascii="Times New Roman" w:hAnsi="Times New Roman" w:cs="Times New Roman"/>
          <w:szCs w:val="30"/>
        </w:rPr>
        <w:t>公顷。</w:t>
      </w:r>
    </w:p>
    <w:p w14:paraId="1286629F">
      <w:pPr>
        <w:ind w:firstLine="600"/>
        <w:rPr>
          <w:rFonts w:ascii="Times New Roman" w:hAnsi="Times New Roman" w:cs="Times New Roman"/>
        </w:rPr>
      </w:pPr>
      <w:r>
        <w:rPr>
          <w:rFonts w:ascii="Times New Roman" w:hAnsi="Times New Roman" w:cs="Times New Roman"/>
          <w:szCs w:val="30"/>
        </w:rPr>
        <w:t>（</w:t>
      </w:r>
      <w:r>
        <w:rPr>
          <w:rFonts w:hint="eastAsia" w:ascii="Times New Roman" w:hAnsi="Times New Roman" w:cs="Times New Roman"/>
          <w:szCs w:val="30"/>
          <w:lang w:eastAsia="zh-CN"/>
        </w:rPr>
        <w:t>红花铺镇</w:t>
      </w:r>
      <w:r>
        <w:rPr>
          <w:rFonts w:ascii="Times New Roman" w:hAnsi="Times New Roman" w:cs="Times New Roman"/>
          <w:szCs w:val="30"/>
        </w:rPr>
        <w:t>国土空间用地结构调整表详见附表2</w:t>
      </w:r>
      <w:r>
        <w:rPr>
          <w:rFonts w:ascii="Times New Roman" w:hAnsi="Times New Roman" w:eastAsia="仿宋" w:cs="Times New Roman"/>
          <w:szCs w:val="30"/>
        </w:rPr>
        <w:t>）</w:t>
      </w:r>
    </w:p>
    <w:p w14:paraId="6466858E">
      <w:pPr>
        <w:pStyle w:val="5"/>
        <w:widowControl w:val="0"/>
        <w:numPr>
          <w:ilvl w:val="0"/>
          <w:numId w:val="4"/>
        </w:numPr>
        <w:tabs>
          <w:tab w:val="left" w:pos="420"/>
        </w:tabs>
        <w:spacing w:beforeAutospacing="1" w:line="240" w:lineRule="auto"/>
        <w:ind w:left="102" w:firstLine="602"/>
        <w:jc w:val="left"/>
        <w:rPr>
          <w:rFonts w:hint="eastAsia" w:ascii="仿宋_GB2312" w:hAnsi="仿宋" w:cs="Times New Roman"/>
          <w:szCs w:val="30"/>
        </w:rPr>
      </w:pPr>
      <w:r>
        <w:rPr>
          <w:rFonts w:hint="eastAsia" w:ascii="仿宋_GB2312" w:hAnsi="仿宋" w:cs="Times New Roman"/>
          <w:szCs w:val="30"/>
          <w:lang w:val="en-US" w:eastAsia="zh-CN"/>
        </w:rPr>
        <w:t>土地利用布局优化</w:t>
      </w:r>
    </w:p>
    <w:p w14:paraId="57127792">
      <w:pPr>
        <w:widowControl w:val="0"/>
        <w:numPr>
          <w:ilvl w:val="0"/>
          <w:numId w:val="5"/>
        </w:numPr>
        <w:bidi w:val="0"/>
        <w:ind w:firstLine="1440"/>
        <w:outlineLvl w:val="3"/>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农用地布局优化</w:t>
      </w:r>
    </w:p>
    <w:p w14:paraId="3F52F9FA">
      <w:pPr>
        <w:adjustRightInd w:val="0"/>
        <w:ind w:firstLine="600"/>
        <w:outlineLvl w:val="4"/>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1、耕地</w:t>
      </w:r>
    </w:p>
    <w:p w14:paraId="77BE971D">
      <w:pPr>
        <w:adjustRightInd w:val="0"/>
        <w:ind w:firstLine="600"/>
        <w:rPr>
          <w:rFonts w:ascii="Times New Roman" w:hAnsi="Times New Roman" w:cs="Times New Roman"/>
          <w:szCs w:val="30"/>
        </w:rPr>
      </w:pPr>
      <w:r>
        <w:rPr>
          <w:rFonts w:ascii="Times New Roman" w:hAnsi="Times New Roman" w:cs="Times New Roman"/>
          <w:szCs w:val="30"/>
        </w:rPr>
        <w:t>严格控制非农建设占用耕地特别是优质耕地，严格落实耕地占补平衡制度。</w:t>
      </w:r>
      <w:r>
        <w:rPr>
          <w:rFonts w:hint="eastAsia" w:ascii="Times New Roman" w:hAnsi="Times New Roman" w:cs="Times New Roman"/>
          <w:szCs w:val="30"/>
        </w:rPr>
        <w:t>规划期间</w:t>
      </w:r>
      <w:r>
        <w:rPr>
          <w:rFonts w:hint="eastAsia" w:ascii="Times New Roman" w:hAnsi="Times New Roman" w:cs="Times New Roman"/>
          <w:szCs w:val="30"/>
          <w:lang w:eastAsia="zh-CN"/>
        </w:rPr>
        <w:t>，</w:t>
      </w:r>
      <w:r>
        <w:rPr>
          <w:rFonts w:hint="eastAsia" w:ascii="Times New Roman" w:hAnsi="Times New Roman" w:cs="Times New Roman"/>
          <w:szCs w:val="30"/>
          <w:lang w:val="en-US" w:eastAsia="zh-CN"/>
        </w:rPr>
        <w:t>农用地结构调整调出耕地面积2.73公顷，建设项目占用耕地1.21公顷，生态退耕调出耕地0.86公顷，土地综合整治补充耕地24.98公顷。</w:t>
      </w:r>
      <w:r>
        <w:rPr>
          <w:rFonts w:hint="eastAsia" w:ascii="Times New Roman" w:hAnsi="Times New Roman" w:cs="Times New Roman"/>
          <w:szCs w:val="30"/>
        </w:rPr>
        <w:t>到20</w:t>
      </w:r>
      <w:r>
        <w:rPr>
          <w:rFonts w:hint="eastAsia" w:ascii="Times New Roman" w:hAnsi="Times New Roman" w:cs="Times New Roman"/>
          <w:szCs w:val="30"/>
          <w:lang w:val="en-US" w:eastAsia="zh-CN"/>
        </w:rPr>
        <w:t>35</w:t>
      </w:r>
      <w:r>
        <w:rPr>
          <w:rFonts w:hint="eastAsia" w:ascii="Times New Roman" w:hAnsi="Times New Roman" w:cs="Times New Roman"/>
          <w:szCs w:val="30"/>
        </w:rPr>
        <w:t>年，耕地</w:t>
      </w:r>
      <w:r>
        <w:rPr>
          <w:rFonts w:hint="eastAsia" w:ascii="Times New Roman" w:hAnsi="Times New Roman" w:cs="Times New Roman"/>
          <w:szCs w:val="30"/>
          <w:lang w:eastAsia="zh-CN"/>
        </w:rPr>
        <w:t>保有量不低于</w:t>
      </w:r>
      <w:r>
        <w:rPr>
          <w:rFonts w:hint="eastAsia" w:ascii="Times New Roman" w:hAnsi="Times New Roman" w:cs="Times New Roman"/>
          <w:szCs w:val="30"/>
          <w:lang w:val="en-US" w:eastAsia="zh-CN"/>
        </w:rPr>
        <w:t>201.89</w:t>
      </w:r>
      <w:r>
        <w:rPr>
          <w:rFonts w:hint="eastAsia" w:ascii="Times New Roman" w:hAnsi="Times New Roman" w:cs="Times New Roman"/>
          <w:szCs w:val="30"/>
        </w:rPr>
        <w:t>公顷</w:t>
      </w:r>
      <w:r>
        <w:rPr>
          <w:rFonts w:ascii="Times New Roman" w:hAnsi="Times New Roman" w:cs="Times New Roman"/>
          <w:szCs w:val="30"/>
        </w:rPr>
        <w:t>。</w:t>
      </w:r>
    </w:p>
    <w:p w14:paraId="4533C7E3">
      <w:pPr>
        <w:adjustRightInd w:val="0"/>
        <w:ind w:firstLine="600"/>
        <w:outlineLvl w:val="4"/>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2、园地</w:t>
      </w:r>
    </w:p>
    <w:p w14:paraId="2380334B">
      <w:pPr>
        <w:adjustRightInd w:val="0"/>
        <w:ind w:firstLine="600"/>
        <w:rPr>
          <w:rFonts w:hint="eastAsia" w:ascii="Times New Roman" w:hAnsi="Times New Roman" w:cs="Times New Roman"/>
          <w:szCs w:val="30"/>
          <w:lang w:val="en-US" w:eastAsia="zh-CN"/>
        </w:rPr>
      </w:pPr>
      <w:r>
        <w:rPr>
          <w:rFonts w:hint="eastAsia" w:ascii="Times New Roman" w:hAnsi="Times New Roman" w:cs="Times New Roman"/>
          <w:szCs w:val="30"/>
        </w:rPr>
        <w:t>果树苗木尽量上山上坡，新增园地原则上不得为15度以下土地。</w:t>
      </w:r>
      <w:r>
        <w:rPr>
          <w:rFonts w:hint="eastAsia" w:ascii="Times New Roman" w:hAnsi="Times New Roman" w:cs="Times New Roman"/>
          <w:szCs w:val="30"/>
          <w:lang w:eastAsia="zh-CN"/>
        </w:rPr>
        <w:t>到</w:t>
      </w:r>
      <w:r>
        <w:rPr>
          <w:rFonts w:hint="eastAsia" w:ascii="Times New Roman" w:hAnsi="Times New Roman" w:cs="Times New Roman"/>
          <w:szCs w:val="30"/>
        </w:rPr>
        <w:t>20</w:t>
      </w:r>
      <w:r>
        <w:rPr>
          <w:rFonts w:hint="eastAsia" w:ascii="Times New Roman" w:hAnsi="Times New Roman" w:cs="Times New Roman"/>
          <w:szCs w:val="30"/>
          <w:lang w:val="en-US" w:eastAsia="zh-CN"/>
        </w:rPr>
        <w:t>35</w:t>
      </w:r>
      <w:r>
        <w:rPr>
          <w:rFonts w:hint="eastAsia" w:ascii="Times New Roman" w:hAnsi="Times New Roman" w:cs="Times New Roman"/>
          <w:szCs w:val="30"/>
        </w:rPr>
        <w:t>年，</w:t>
      </w:r>
      <w:r>
        <w:rPr>
          <w:rFonts w:hint="eastAsia" w:ascii="Times New Roman" w:hAnsi="Times New Roman" w:cs="Times New Roman"/>
          <w:szCs w:val="30"/>
          <w:lang w:val="en-US" w:eastAsia="zh-CN"/>
        </w:rPr>
        <w:t>红花铺</w:t>
      </w:r>
      <w:r>
        <w:rPr>
          <w:rFonts w:hint="eastAsia" w:ascii="Times New Roman" w:hAnsi="Times New Roman" w:cs="Times New Roman"/>
          <w:szCs w:val="30"/>
          <w:lang w:eastAsia="zh-CN"/>
        </w:rPr>
        <w:t>镇</w:t>
      </w:r>
      <w:r>
        <w:rPr>
          <w:rFonts w:hint="eastAsia" w:ascii="Times New Roman" w:hAnsi="Times New Roman" w:cs="Times New Roman"/>
          <w:szCs w:val="30"/>
        </w:rPr>
        <w:t>园地</w:t>
      </w:r>
      <w:r>
        <w:rPr>
          <w:rFonts w:hint="eastAsia" w:ascii="Times New Roman" w:hAnsi="Times New Roman" w:cs="Times New Roman"/>
          <w:szCs w:val="30"/>
          <w:lang w:eastAsia="zh-CN"/>
        </w:rPr>
        <w:t>保有量</w:t>
      </w:r>
      <w:r>
        <w:rPr>
          <w:rFonts w:hint="eastAsia" w:ascii="Times New Roman" w:hAnsi="Times New Roman" w:cs="Times New Roman"/>
          <w:szCs w:val="30"/>
          <w:lang w:val="en-US" w:eastAsia="zh-CN"/>
        </w:rPr>
        <w:t>601.00</w:t>
      </w:r>
      <w:r>
        <w:rPr>
          <w:rFonts w:hint="eastAsia" w:ascii="Times New Roman" w:hAnsi="Times New Roman" w:cs="Times New Roman"/>
          <w:szCs w:val="30"/>
        </w:rPr>
        <w:t>公顷，</w:t>
      </w:r>
      <w:r>
        <w:rPr>
          <w:rFonts w:hint="eastAsia" w:ascii="Times New Roman" w:hAnsi="Times New Roman" w:cs="Times New Roman"/>
          <w:szCs w:val="30"/>
          <w:lang w:eastAsia="zh-CN"/>
        </w:rPr>
        <w:t>主要分布在</w:t>
      </w:r>
      <w:r>
        <w:rPr>
          <w:rFonts w:hint="eastAsia" w:ascii="Times New Roman" w:hAnsi="Times New Roman" w:cs="Times New Roman"/>
          <w:szCs w:val="30"/>
          <w:lang w:val="en-US" w:eastAsia="zh-CN"/>
        </w:rPr>
        <w:t>永生村、草凉驿村、红花铺村、白家店村</w:t>
      </w:r>
      <w:r>
        <w:rPr>
          <w:rFonts w:hint="eastAsia" w:ascii="Times New Roman" w:hAnsi="Times New Roman" w:cs="Times New Roman"/>
          <w:szCs w:val="30"/>
          <w:lang w:eastAsia="zh-CN"/>
        </w:rPr>
        <w:t>。</w:t>
      </w:r>
    </w:p>
    <w:p w14:paraId="701A622B">
      <w:pPr>
        <w:adjustRightInd w:val="0"/>
        <w:ind w:firstLine="600"/>
        <w:outlineLvl w:val="4"/>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3、林地</w:t>
      </w:r>
    </w:p>
    <w:p w14:paraId="204314A0">
      <w:pPr>
        <w:adjustRightInd w:val="0"/>
        <w:ind w:firstLine="600"/>
        <w:rPr>
          <w:rFonts w:hint="eastAsia" w:ascii="Times New Roman" w:hAnsi="Times New Roman" w:cs="Times New Roman"/>
          <w:szCs w:val="30"/>
          <w:highlight w:val="none"/>
          <w:lang w:val="en-US" w:eastAsia="zh-CN"/>
        </w:rPr>
      </w:pPr>
      <w:r>
        <w:rPr>
          <w:rFonts w:ascii="Times New Roman" w:hAnsi="Times New Roman" w:cs="Times New Roman"/>
          <w:szCs w:val="30"/>
        </w:rPr>
        <w:t>在保护现存森林资源的同时，积极引导林地向生态脆弱、水土流失严重地区集中发展</w:t>
      </w:r>
      <w:r>
        <w:rPr>
          <w:rFonts w:hint="eastAsia" w:ascii="Times New Roman" w:hAnsi="Times New Roman" w:cs="Times New Roman"/>
          <w:szCs w:val="30"/>
          <w:lang w:eastAsia="zh-CN"/>
        </w:rPr>
        <w:t>。</w:t>
      </w:r>
      <w:r>
        <w:rPr>
          <w:rFonts w:hint="eastAsia" w:ascii="Times New Roman" w:hAnsi="Times New Roman" w:cs="Times New Roman"/>
          <w:szCs w:val="30"/>
        </w:rPr>
        <w:t>规划期间，</w:t>
      </w:r>
      <w:r>
        <w:rPr>
          <w:rFonts w:hint="eastAsia" w:ascii="Times New Roman" w:hAnsi="Times New Roman" w:cs="Times New Roman"/>
          <w:szCs w:val="30"/>
          <w:lang w:eastAsia="zh-CN"/>
        </w:rPr>
        <w:t>建设占用林地</w:t>
      </w:r>
      <w:r>
        <w:rPr>
          <w:rFonts w:hint="eastAsia" w:ascii="Times New Roman" w:hAnsi="Times New Roman" w:cs="Times New Roman"/>
          <w:szCs w:val="30"/>
          <w:lang w:val="en-US" w:eastAsia="zh-CN"/>
        </w:rPr>
        <w:t>3.50公顷，农用地调整2.69公顷，造林绿化新增林地面积1.97公顷。</w:t>
      </w:r>
      <w:r>
        <w:rPr>
          <w:rFonts w:hint="eastAsia" w:ascii="Times New Roman" w:hAnsi="Times New Roman" w:cs="Times New Roman"/>
          <w:szCs w:val="30"/>
          <w:highlight w:val="none"/>
          <w:lang w:eastAsia="zh-CN"/>
        </w:rPr>
        <w:t>到</w:t>
      </w:r>
      <w:r>
        <w:rPr>
          <w:rFonts w:hint="eastAsia" w:ascii="Times New Roman" w:hAnsi="Times New Roman" w:cs="Times New Roman"/>
          <w:szCs w:val="30"/>
          <w:highlight w:val="none"/>
        </w:rPr>
        <w:t>20</w:t>
      </w:r>
      <w:r>
        <w:rPr>
          <w:rFonts w:hint="eastAsia" w:ascii="Times New Roman" w:hAnsi="Times New Roman" w:cs="Times New Roman"/>
          <w:szCs w:val="30"/>
          <w:highlight w:val="none"/>
          <w:lang w:val="en-US" w:eastAsia="zh-CN"/>
        </w:rPr>
        <w:t>35</w:t>
      </w:r>
      <w:r>
        <w:rPr>
          <w:rFonts w:hint="eastAsia" w:ascii="Times New Roman" w:hAnsi="Times New Roman" w:cs="Times New Roman"/>
          <w:szCs w:val="30"/>
          <w:highlight w:val="none"/>
        </w:rPr>
        <w:t>年</w:t>
      </w:r>
      <w:r>
        <w:rPr>
          <w:rFonts w:ascii="Times New Roman" w:hAnsi="Times New Roman" w:cs="Times New Roman"/>
          <w:szCs w:val="30"/>
          <w:highlight w:val="none"/>
        </w:rPr>
        <w:t>，林地</w:t>
      </w:r>
      <w:r>
        <w:rPr>
          <w:rFonts w:hint="eastAsia" w:ascii="Times New Roman" w:hAnsi="Times New Roman" w:cs="Times New Roman"/>
          <w:szCs w:val="30"/>
          <w:highlight w:val="none"/>
          <w:lang w:eastAsia="zh-CN"/>
        </w:rPr>
        <w:t>保有量不低于</w:t>
      </w:r>
      <w:r>
        <w:rPr>
          <w:rFonts w:hint="eastAsia" w:ascii="Times New Roman" w:hAnsi="Times New Roman" w:cs="Times New Roman"/>
          <w:szCs w:val="30"/>
          <w:highlight w:val="none"/>
          <w:lang w:val="en-US" w:eastAsia="zh-CN"/>
        </w:rPr>
        <w:t>21691.99</w:t>
      </w:r>
      <w:r>
        <w:rPr>
          <w:rFonts w:hint="eastAsia" w:ascii="Times New Roman" w:hAnsi="Times New Roman" w:cs="Times New Roman"/>
          <w:szCs w:val="30"/>
          <w:highlight w:val="none"/>
          <w:lang w:eastAsia="zh-CN"/>
        </w:rPr>
        <w:t>公顷。</w:t>
      </w:r>
    </w:p>
    <w:p w14:paraId="36AE360F">
      <w:pPr>
        <w:adjustRightInd w:val="0"/>
        <w:ind w:firstLine="600"/>
        <w:outlineLvl w:val="4"/>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4、牧草地</w:t>
      </w:r>
    </w:p>
    <w:p w14:paraId="3D214303">
      <w:pPr>
        <w:adjustRightInd w:val="0"/>
        <w:ind w:firstLine="600"/>
        <w:rPr>
          <w:rFonts w:hint="eastAsia" w:ascii="Times New Roman" w:hAnsi="Times New Roman" w:cs="Times New Roman"/>
          <w:szCs w:val="30"/>
          <w:lang w:eastAsia="zh-CN"/>
        </w:rPr>
      </w:pPr>
      <w:r>
        <w:rPr>
          <w:rFonts w:hint="eastAsia" w:ascii="Times New Roman" w:hAnsi="Times New Roman" w:cs="Times New Roman"/>
          <w:szCs w:val="30"/>
          <w:lang w:eastAsia="zh-CN"/>
        </w:rPr>
        <w:t>规划</w:t>
      </w:r>
      <w:r>
        <w:rPr>
          <w:rFonts w:ascii="Times New Roman" w:hAnsi="Times New Roman" w:cs="Times New Roman"/>
          <w:szCs w:val="30"/>
        </w:rPr>
        <w:t>使牧草地</w:t>
      </w:r>
      <w:r>
        <w:rPr>
          <w:rFonts w:hint="eastAsia" w:ascii="Times New Roman" w:hAnsi="Times New Roman" w:cs="Times New Roman"/>
          <w:szCs w:val="30"/>
          <w:lang w:eastAsia="zh-CN"/>
        </w:rPr>
        <w:t>布局</w:t>
      </w:r>
      <w:r>
        <w:rPr>
          <w:rFonts w:ascii="Times New Roman" w:hAnsi="Times New Roman" w:cs="Times New Roman"/>
          <w:szCs w:val="30"/>
        </w:rPr>
        <w:t>在</w:t>
      </w:r>
      <w:r>
        <w:rPr>
          <w:rFonts w:hint="eastAsia" w:ascii="Times New Roman" w:hAnsi="Times New Roman" w:cs="Times New Roman"/>
          <w:szCs w:val="30"/>
          <w:lang w:val="en-US" w:eastAsia="zh-CN"/>
        </w:rPr>
        <w:t>红花铺</w:t>
      </w:r>
      <w:r>
        <w:rPr>
          <w:rFonts w:hint="eastAsia" w:ascii="Times New Roman" w:hAnsi="Times New Roman" w:cs="Times New Roman"/>
          <w:szCs w:val="30"/>
          <w:lang w:eastAsia="zh-CN"/>
        </w:rPr>
        <w:t>镇</w:t>
      </w:r>
      <w:r>
        <w:rPr>
          <w:rFonts w:ascii="Times New Roman" w:hAnsi="Times New Roman" w:cs="Times New Roman"/>
          <w:szCs w:val="30"/>
        </w:rPr>
        <w:t>耕地、林地过渡地带，在产生经济效益的同时，发挥绿色空间的生态功能。</w:t>
      </w:r>
      <w:r>
        <w:rPr>
          <w:rFonts w:hint="eastAsia" w:ascii="Times New Roman" w:hAnsi="Times New Roman" w:cs="Times New Roman"/>
          <w:szCs w:val="30"/>
          <w:lang w:eastAsia="zh-CN"/>
        </w:rPr>
        <w:t>到</w:t>
      </w:r>
      <w:r>
        <w:rPr>
          <w:rFonts w:ascii="Times New Roman" w:hAnsi="Times New Roman" w:cs="Times New Roman"/>
          <w:szCs w:val="30"/>
        </w:rPr>
        <w:t>20</w:t>
      </w:r>
      <w:r>
        <w:rPr>
          <w:rFonts w:hint="eastAsia" w:ascii="Times New Roman" w:hAnsi="Times New Roman" w:cs="Times New Roman"/>
          <w:szCs w:val="30"/>
          <w:lang w:val="en-US" w:eastAsia="zh-CN"/>
        </w:rPr>
        <w:t>35</w:t>
      </w:r>
      <w:r>
        <w:rPr>
          <w:rFonts w:ascii="Times New Roman" w:hAnsi="Times New Roman" w:cs="Times New Roman"/>
          <w:szCs w:val="30"/>
        </w:rPr>
        <w:t>年，牧草地</w:t>
      </w:r>
      <w:r>
        <w:rPr>
          <w:rFonts w:hint="eastAsia" w:ascii="Times New Roman" w:hAnsi="Times New Roman" w:cs="Times New Roman"/>
          <w:szCs w:val="30"/>
          <w:lang w:eastAsia="zh-CN"/>
        </w:rPr>
        <w:t>面积6</w:t>
      </w:r>
      <w:r>
        <w:rPr>
          <w:rFonts w:hint="eastAsia" w:ascii="Times New Roman" w:hAnsi="Times New Roman" w:cs="Times New Roman"/>
          <w:szCs w:val="30"/>
          <w:lang w:val="en-US" w:eastAsia="zh-CN"/>
        </w:rPr>
        <w:t>8.64</w:t>
      </w:r>
      <w:r>
        <w:rPr>
          <w:rFonts w:ascii="Times New Roman" w:hAnsi="Times New Roman" w:cs="Times New Roman"/>
          <w:szCs w:val="30"/>
        </w:rPr>
        <w:t>公顷，主要</w:t>
      </w:r>
      <w:r>
        <w:rPr>
          <w:rFonts w:hint="eastAsia" w:ascii="Times New Roman" w:hAnsi="Times New Roman" w:cs="Times New Roman"/>
          <w:szCs w:val="30"/>
          <w:lang w:eastAsia="zh-CN"/>
        </w:rPr>
        <w:t>分布</w:t>
      </w:r>
      <w:r>
        <w:rPr>
          <w:rFonts w:ascii="Times New Roman" w:hAnsi="Times New Roman" w:cs="Times New Roman"/>
          <w:szCs w:val="30"/>
        </w:rPr>
        <w:t>在</w:t>
      </w:r>
      <w:r>
        <w:rPr>
          <w:rFonts w:hint="eastAsia" w:ascii="Times New Roman" w:hAnsi="Times New Roman" w:cs="Times New Roman"/>
          <w:szCs w:val="30"/>
          <w:lang w:val="en-US" w:eastAsia="zh-CN"/>
        </w:rPr>
        <w:t>草凉驿村与永生</w:t>
      </w:r>
      <w:r>
        <w:rPr>
          <w:rFonts w:hint="eastAsia" w:ascii="Times New Roman" w:hAnsi="Times New Roman" w:cs="Times New Roman"/>
          <w:szCs w:val="30"/>
          <w:lang w:eastAsia="zh-CN"/>
        </w:rPr>
        <w:t>村</w:t>
      </w:r>
      <w:r>
        <w:rPr>
          <w:rFonts w:hint="eastAsia" w:ascii="Times New Roman" w:hAnsi="Times New Roman" w:cs="Times New Roman"/>
          <w:szCs w:val="30"/>
          <w:lang w:val="en-US" w:eastAsia="zh-CN"/>
        </w:rPr>
        <w:t>等村</w:t>
      </w:r>
      <w:r>
        <w:rPr>
          <w:rFonts w:hint="eastAsia" w:ascii="Times New Roman" w:hAnsi="Times New Roman" w:cs="Times New Roman"/>
          <w:szCs w:val="30"/>
          <w:lang w:eastAsia="zh-CN"/>
        </w:rPr>
        <w:t>。</w:t>
      </w:r>
    </w:p>
    <w:p w14:paraId="738AA5A2">
      <w:pPr>
        <w:adjustRightInd w:val="0"/>
        <w:ind w:firstLine="600"/>
        <w:outlineLvl w:val="4"/>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5、其他农用地</w:t>
      </w:r>
    </w:p>
    <w:p w14:paraId="4BE2BA04">
      <w:pPr>
        <w:adjustRightInd w:val="0"/>
        <w:ind w:firstLine="600"/>
        <w:rPr>
          <w:rFonts w:hint="eastAsia" w:ascii="Times New Roman" w:hAnsi="Times New Roman" w:cs="Times New Roman"/>
          <w:szCs w:val="30"/>
          <w:lang w:val="en-US" w:eastAsia="zh-CN"/>
        </w:rPr>
      </w:pPr>
      <w:r>
        <w:rPr>
          <w:rFonts w:hint="eastAsia" w:ascii="Times New Roman" w:hAnsi="Times New Roman" w:cs="Times New Roman"/>
          <w:szCs w:val="30"/>
          <w:lang w:eastAsia="zh-CN"/>
        </w:rPr>
        <w:t>到</w:t>
      </w:r>
      <w:r>
        <w:rPr>
          <w:rFonts w:ascii="Times New Roman" w:hAnsi="Times New Roman" w:cs="Times New Roman"/>
          <w:szCs w:val="30"/>
        </w:rPr>
        <w:t>20</w:t>
      </w:r>
      <w:r>
        <w:rPr>
          <w:rFonts w:hint="eastAsia" w:ascii="Times New Roman" w:hAnsi="Times New Roman" w:cs="Times New Roman"/>
          <w:szCs w:val="30"/>
          <w:lang w:val="en-US" w:eastAsia="zh-CN"/>
        </w:rPr>
        <w:t>35</w:t>
      </w:r>
      <w:r>
        <w:rPr>
          <w:rFonts w:ascii="Times New Roman" w:hAnsi="Times New Roman" w:cs="Times New Roman"/>
          <w:szCs w:val="30"/>
        </w:rPr>
        <w:t>年，</w:t>
      </w:r>
      <w:r>
        <w:rPr>
          <w:rFonts w:hint="eastAsia" w:ascii="Times New Roman" w:hAnsi="Times New Roman" w:cs="Times New Roman"/>
          <w:szCs w:val="30"/>
          <w:lang w:eastAsia="zh-CN"/>
        </w:rPr>
        <w:t>其他农用地总面积</w:t>
      </w:r>
      <w:r>
        <w:rPr>
          <w:rFonts w:hint="eastAsia" w:ascii="Times New Roman" w:hAnsi="Times New Roman" w:cs="Times New Roman"/>
          <w:szCs w:val="30"/>
          <w:lang w:val="en-US" w:eastAsia="zh-CN"/>
        </w:rPr>
        <w:t>74.72</w:t>
      </w:r>
      <w:r>
        <w:rPr>
          <w:rFonts w:ascii="Times New Roman" w:hAnsi="Times New Roman" w:cs="Times New Roman"/>
          <w:szCs w:val="30"/>
        </w:rPr>
        <w:t>公顷，</w:t>
      </w:r>
      <w:r>
        <w:rPr>
          <w:rFonts w:hint="eastAsia" w:ascii="Times New Roman" w:hAnsi="Times New Roman" w:cs="Times New Roman"/>
          <w:szCs w:val="30"/>
          <w:lang w:eastAsia="zh-CN"/>
        </w:rPr>
        <w:t>其中新增养殖和种植设施用地</w:t>
      </w:r>
      <w:r>
        <w:rPr>
          <w:rFonts w:hint="eastAsia" w:ascii="Times New Roman" w:hAnsi="Times New Roman" w:cs="Times New Roman"/>
          <w:szCs w:val="30"/>
          <w:lang w:val="en-US" w:eastAsia="zh-CN"/>
        </w:rPr>
        <w:t>5.20公顷，</w:t>
      </w:r>
      <w:r>
        <w:rPr>
          <w:rFonts w:ascii="Times New Roman" w:hAnsi="Times New Roman" w:cs="Times New Roman"/>
          <w:szCs w:val="30"/>
        </w:rPr>
        <w:t>主要布局在</w:t>
      </w:r>
      <w:r>
        <w:rPr>
          <w:rFonts w:hint="eastAsia" w:ascii="Times New Roman" w:hAnsi="Times New Roman" w:cs="Times New Roman"/>
          <w:szCs w:val="30"/>
          <w:lang w:val="en-US" w:eastAsia="zh-CN"/>
        </w:rPr>
        <w:t>红花铺村、草凉驿村和永生村</w:t>
      </w:r>
      <w:r>
        <w:rPr>
          <w:rFonts w:hint="eastAsia" w:ascii="Times New Roman" w:hAnsi="Times New Roman" w:cs="Times New Roman"/>
          <w:szCs w:val="30"/>
          <w:lang w:eastAsia="zh-CN"/>
        </w:rPr>
        <w:t>。</w:t>
      </w:r>
    </w:p>
    <w:p w14:paraId="5EABD1C4">
      <w:pPr>
        <w:widowControl w:val="0"/>
        <w:numPr>
          <w:ilvl w:val="0"/>
          <w:numId w:val="0"/>
        </w:numPr>
        <w:bidi w:val="0"/>
        <w:ind w:firstLine="600" w:firstLineChars="200"/>
        <w:outlineLvl w:val="3"/>
        <w:rPr>
          <w:rFonts w:hint="eastAsia" w:ascii="Times New Roman" w:hAnsi="Times New Roman" w:cs="Times New Roman"/>
          <w:szCs w:val="24"/>
          <w:lang w:val="en-US" w:eastAsia="zh-CN"/>
        </w:rPr>
      </w:pPr>
      <w:r>
        <w:rPr>
          <w:rFonts w:hint="eastAsia" w:ascii="Times New Roman" w:hAnsi="Times New Roman" w:eastAsia="仿宋_GB2312" w:cs="Times New Roman"/>
          <w:kern w:val="2"/>
          <w:sz w:val="30"/>
          <w:szCs w:val="24"/>
          <w:lang w:val="en-US" w:eastAsia="zh-CN" w:bidi="ar-SA"/>
        </w:rPr>
        <w:t>（</w:t>
      </w:r>
      <w:r>
        <w:rPr>
          <w:rFonts w:hint="eastAsia" w:ascii="Times New Roman" w:hAnsi="Times New Roman" w:cs="Times New Roman"/>
          <w:kern w:val="2"/>
          <w:sz w:val="30"/>
          <w:szCs w:val="24"/>
          <w:lang w:val="en-US" w:eastAsia="zh-CN" w:bidi="ar-SA"/>
        </w:rPr>
        <w:t>二</w:t>
      </w:r>
      <w:r>
        <w:rPr>
          <w:rFonts w:hint="eastAsia" w:ascii="Times New Roman" w:hAnsi="Times New Roman" w:eastAsia="仿宋_GB2312" w:cs="Times New Roman"/>
          <w:kern w:val="2"/>
          <w:sz w:val="30"/>
          <w:szCs w:val="24"/>
          <w:lang w:val="en-US" w:eastAsia="zh-CN" w:bidi="ar-SA"/>
        </w:rPr>
        <w:t>）</w:t>
      </w:r>
      <w:r>
        <w:rPr>
          <w:rFonts w:hint="eastAsia" w:ascii="Times New Roman" w:hAnsi="Times New Roman" w:cs="Times New Roman"/>
          <w:szCs w:val="24"/>
          <w:lang w:val="en-US" w:eastAsia="zh-CN"/>
        </w:rPr>
        <w:t>建设用地布局优化</w:t>
      </w:r>
    </w:p>
    <w:p w14:paraId="0BA6BAAA">
      <w:pPr>
        <w:adjustRightInd w:val="0"/>
        <w:ind w:firstLine="600"/>
        <w:outlineLvl w:val="4"/>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1、城镇用地</w:t>
      </w:r>
    </w:p>
    <w:p w14:paraId="5BB17B77">
      <w:pPr>
        <w:adjustRightInd w:val="0"/>
        <w:ind w:firstLine="600"/>
        <w:rPr>
          <w:rFonts w:hint="eastAsia" w:ascii="Times New Roman" w:hAnsi="Times New Roman" w:cs="Times New Roman"/>
          <w:szCs w:val="30"/>
          <w:lang w:eastAsia="zh-CN"/>
        </w:rPr>
      </w:pPr>
      <w:r>
        <w:rPr>
          <w:rFonts w:hint="eastAsia" w:ascii="Times New Roman" w:hAnsi="Times New Roman" w:cs="Times New Roman"/>
          <w:szCs w:val="30"/>
        </w:rPr>
        <w:t>统筹安排城镇基础设施和公共服务设施建设用地，保障居住用地稳定供给，增加绿地与开敞空间。到20</w:t>
      </w:r>
      <w:r>
        <w:rPr>
          <w:rFonts w:hint="eastAsia" w:ascii="Times New Roman" w:hAnsi="Times New Roman" w:cs="Times New Roman"/>
          <w:szCs w:val="30"/>
          <w:lang w:val="en-US" w:eastAsia="zh-CN"/>
        </w:rPr>
        <w:t>35</w:t>
      </w:r>
      <w:r>
        <w:rPr>
          <w:rFonts w:hint="eastAsia" w:ascii="Times New Roman" w:hAnsi="Times New Roman" w:cs="Times New Roman"/>
          <w:szCs w:val="30"/>
        </w:rPr>
        <w:t>年，</w:t>
      </w:r>
      <w:r>
        <w:rPr>
          <w:rFonts w:hint="eastAsia" w:ascii="Times New Roman" w:hAnsi="Times New Roman" w:cs="Times New Roman"/>
          <w:szCs w:val="30"/>
          <w:lang w:val="en-US" w:eastAsia="zh-CN"/>
        </w:rPr>
        <w:t>红花铺</w:t>
      </w:r>
      <w:r>
        <w:rPr>
          <w:rFonts w:hint="eastAsia" w:ascii="Times New Roman" w:hAnsi="Times New Roman" w:cs="Times New Roman"/>
          <w:szCs w:val="30"/>
          <w:lang w:eastAsia="zh-CN"/>
        </w:rPr>
        <w:t>镇</w:t>
      </w:r>
      <w:r>
        <w:rPr>
          <w:rFonts w:hint="eastAsia" w:ascii="Times New Roman" w:hAnsi="Times New Roman" w:cs="Times New Roman"/>
          <w:szCs w:val="30"/>
        </w:rPr>
        <w:t>城镇用地面积为</w:t>
      </w:r>
      <w:r>
        <w:rPr>
          <w:rFonts w:hint="eastAsia" w:ascii="Times New Roman" w:hAnsi="Times New Roman" w:cs="Times New Roman"/>
          <w:szCs w:val="30"/>
          <w:lang w:val="en-US" w:eastAsia="zh-CN"/>
        </w:rPr>
        <w:t>13.81</w:t>
      </w:r>
      <w:r>
        <w:rPr>
          <w:rFonts w:hint="eastAsia" w:ascii="Times New Roman" w:hAnsi="Times New Roman" w:cs="Times New Roman"/>
          <w:szCs w:val="30"/>
        </w:rPr>
        <w:t>公顷，新增</w:t>
      </w:r>
      <w:r>
        <w:rPr>
          <w:rFonts w:hint="eastAsia" w:ascii="Times New Roman" w:hAnsi="Times New Roman" w:cs="Times New Roman"/>
          <w:szCs w:val="30"/>
          <w:lang w:val="en-US" w:eastAsia="zh-CN"/>
        </w:rPr>
        <w:t>3.49</w:t>
      </w:r>
      <w:r>
        <w:rPr>
          <w:rFonts w:hint="eastAsia" w:ascii="Times New Roman" w:hAnsi="Times New Roman" w:cs="Times New Roman"/>
          <w:szCs w:val="30"/>
        </w:rPr>
        <w:t>公顷</w:t>
      </w:r>
      <w:r>
        <w:rPr>
          <w:rFonts w:ascii="Times New Roman" w:hAnsi="Times New Roman" w:cs="Times New Roman"/>
          <w:szCs w:val="30"/>
        </w:rPr>
        <w:t>。</w:t>
      </w:r>
      <w:r>
        <w:rPr>
          <w:rFonts w:hint="eastAsia" w:ascii="Times New Roman" w:hAnsi="Times New Roman" w:cs="Times New Roman"/>
          <w:szCs w:val="30"/>
        </w:rPr>
        <w:t>规划期内应落实最严格的节约集约用地制度，控制新增建设用地规模</w:t>
      </w:r>
      <w:r>
        <w:rPr>
          <w:rFonts w:hint="eastAsia" w:ascii="Times New Roman" w:hAnsi="Times New Roman" w:cs="Times New Roman"/>
          <w:szCs w:val="30"/>
          <w:lang w:eastAsia="zh-CN"/>
        </w:rPr>
        <w:t>。</w:t>
      </w:r>
    </w:p>
    <w:p w14:paraId="74BFA456">
      <w:pPr>
        <w:adjustRightInd w:val="0"/>
        <w:ind w:firstLine="600"/>
        <w:outlineLvl w:val="4"/>
        <w:rPr>
          <w:rFonts w:hint="eastAsia" w:ascii="Times New Roman" w:hAnsi="Times New Roman" w:cs="Times New Roman"/>
          <w:szCs w:val="30"/>
          <w:lang w:val="en-US" w:eastAsia="zh-CN"/>
        </w:rPr>
      </w:pPr>
      <w:r>
        <w:rPr>
          <w:rFonts w:hint="eastAsia" w:ascii="Times New Roman" w:hAnsi="Times New Roman" w:cs="Times New Roman"/>
          <w:szCs w:val="30"/>
          <w:lang w:val="en-US" w:eastAsia="zh-CN"/>
        </w:rPr>
        <w:t>2、村庄用地</w:t>
      </w:r>
    </w:p>
    <w:p w14:paraId="6A87E14E">
      <w:pPr>
        <w:adjustRightInd w:val="0"/>
        <w:ind w:firstLine="600"/>
        <w:rPr>
          <w:rFonts w:hint="eastAsia" w:ascii="Times New Roman" w:hAnsi="Times New Roman" w:cs="Times New Roman"/>
          <w:szCs w:val="30"/>
          <w:lang w:eastAsia="zh-CN"/>
        </w:rPr>
      </w:pPr>
      <w:r>
        <w:rPr>
          <w:rFonts w:hint="eastAsia" w:ascii="Times New Roman" w:hAnsi="Times New Roman" w:cs="Times New Roman"/>
          <w:szCs w:val="30"/>
        </w:rPr>
        <w:t>合理确定村庄分类，积极引导村庄集中布局，提高村庄基础设施和公共服务设施水平</w:t>
      </w:r>
      <w:r>
        <w:rPr>
          <w:rFonts w:hint="eastAsia" w:ascii="Times New Roman" w:hAnsi="Times New Roman" w:cs="Times New Roman"/>
          <w:szCs w:val="30"/>
          <w:lang w:eastAsia="zh-CN"/>
        </w:rPr>
        <w:t>，</w:t>
      </w:r>
      <w:r>
        <w:rPr>
          <w:rFonts w:hint="eastAsia" w:ascii="Times New Roman" w:hAnsi="Times New Roman" w:cs="Times New Roman"/>
          <w:szCs w:val="30"/>
        </w:rPr>
        <w:t>严格控制农村宅基地规模。</w:t>
      </w:r>
      <w:r>
        <w:rPr>
          <w:rFonts w:hint="eastAsia" w:ascii="Times New Roman" w:hAnsi="Times New Roman" w:cs="Times New Roman"/>
          <w:szCs w:val="30"/>
          <w:lang w:eastAsia="zh-CN"/>
        </w:rPr>
        <w:t>规划期间，村庄用地转变成城镇用地</w:t>
      </w:r>
      <w:r>
        <w:rPr>
          <w:rFonts w:hint="eastAsia" w:ascii="Times New Roman" w:hAnsi="Times New Roman" w:cs="Times New Roman"/>
          <w:szCs w:val="30"/>
          <w:lang w:val="en-US" w:eastAsia="zh-CN"/>
        </w:rPr>
        <w:t>0.14公顷，新增村庄</w:t>
      </w:r>
      <w:r>
        <w:rPr>
          <w:rFonts w:hint="eastAsia" w:ascii="Times New Roman" w:hAnsi="Times New Roman" w:cs="Times New Roman"/>
          <w:szCs w:val="30"/>
          <w:lang w:eastAsia="zh-CN"/>
        </w:rPr>
        <w:t>用地</w:t>
      </w:r>
      <w:r>
        <w:rPr>
          <w:rFonts w:hint="eastAsia" w:ascii="Times New Roman" w:hAnsi="Times New Roman" w:cs="Times New Roman"/>
          <w:color w:val="000000" w:themeColor="text1"/>
          <w:lang w:val="en-US" w:eastAsia="zh-CN"/>
          <w14:textFill>
            <w14:solidFill>
              <w14:schemeClr w14:val="tx1"/>
            </w14:solidFill>
          </w14:textFill>
        </w:rPr>
        <w:t>8.51</w:t>
      </w:r>
      <w:r>
        <w:rPr>
          <w:rFonts w:hint="default" w:ascii="Times New Roman" w:hAnsi="Times New Roman" w:cs="Times New Roman"/>
          <w:color w:val="000000" w:themeColor="text1"/>
          <w14:textFill>
            <w14:solidFill>
              <w14:schemeClr w14:val="tx1"/>
            </w14:solidFill>
          </w14:textFill>
        </w:rPr>
        <w:t>公顷</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szCs w:val="30"/>
          <w:lang w:val="en-US" w:eastAsia="zh-CN"/>
        </w:rPr>
        <w:t>农村建设用地整治复垦5.61公顷。</w:t>
      </w:r>
      <w:r>
        <w:rPr>
          <w:rFonts w:hint="eastAsia" w:ascii="Times New Roman" w:hAnsi="Times New Roman" w:cs="Times New Roman"/>
          <w:szCs w:val="30"/>
        </w:rPr>
        <w:t>到20</w:t>
      </w:r>
      <w:r>
        <w:rPr>
          <w:rFonts w:hint="eastAsia" w:ascii="Times New Roman" w:hAnsi="Times New Roman" w:cs="Times New Roman"/>
          <w:szCs w:val="30"/>
          <w:lang w:val="en-US" w:eastAsia="zh-CN"/>
        </w:rPr>
        <w:t>35</w:t>
      </w:r>
      <w:r>
        <w:rPr>
          <w:rFonts w:hint="eastAsia" w:ascii="Times New Roman" w:hAnsi="Times New Roman" w:cs="Times New Roman"/>
          <w:szCs w:val="30"/>
        </w:rPr>
        <w:t>年，</w:t>
      </w:r>
      <w:r>
        <w:rPr>
          <w:rFonts w:hint="eastAsia" w:ascii="Times New Roman" w:hAnsi="Times New Roman" w:cs="Times New Roman"/>
          <w:szCs w:val="30"/>
          <w:lang w:eastAsia="zh-CN"/>
        </w:rPr>
        <w:t>村庄建设用地保有量为</w:t>
      </w:r>
      <w:r>
        <w:rPr>
          <w:rFonts w:hint="eastAsia" w:ascii="Times New Roman" w:hAnsi="Times New Roman" w:cs="Times New Roman"/>
          <w:szCs w:val="30"/>
          <w:lang w:val="en-US" w:eastAsia="zh-CN"/>
        </w:rPr>
        <w:t>76.03</w:t>
      </w:r>
      <w:r>
        <w:rPr>
          <w:rFonts w:hint="eastAsia" w:ascii="Times New Roman" w:hAnsi="Times New Roman" w:cs="Times New Roman"/>
          <w:szCs w:val="30"/>
          <w:lang w:eastAsia="zh-CN"/>
        </w:rPr>
        <w:t>公顷，</w:t>
      </w:r>
      <w:r>
        <w:rPr>
          <w:rFonts w:hint="eastAsia" w:ascii="Times New Roman" w:hAnsi="Times New Roman" w:cs="Times New Roman"/>
          <w:szCs w:val="30"/>
          <w:lang w:val="en-US" w:eastAsia="zh-CN"/>
        </w:rPr>
        <w:t>增加了2.76</w:t>
      </w:r>
      <w:r>
        <w:rPr>
          <w:rFonts w:hint="eastAsia" w:ascii="Times New Roman" w:hAnsi="Times New Roman" w:cs="Times New Roman"/>
          <w:szCs w:val="30"/>
          <w:lang w:eastAsia="zh-CN"/>
        </w:rPr>
        <w:t>公顷。</w:t>
      </w:r>
    </w:p>
    <w:p w14:paraId="6B11DF78">
      <w:pPr>
        <w:adjustRightInd w:val="0"/>
        <w:ind w:firstLine="600"/>
        <w:outlineLvl w:val="4"/>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3、区域基础设施用地</w:t>
      </w:r>
    </w:p>
    <w:p w14:paraId="18723582">
      <w:pPr>
        <w:adjustRightInd w:val="0"/>
        <w:ind w:firstLine="600"/>
        <w:rPr>
          <w:rFonts w:hint="default" w:ascii="Times New Roman" w:hAnsi="Times New Roman" w:cs="Times New Roman"/>
          <w:szCs w:val="30"/>
          <w:lang w:eastAsia="zh-CN"/>
        </w:rPr>
      </w:pPr>
      <w:r>
        <w:rPr>
          <w:rFonts w:hint="default" w:ascii="Times New Roman" w:hAnsi="Times New Roman" w:cs="Times New Roman"/>
          <w:sz w:val="30"/>
          <w:szCs w:val="30"/>
          <w:lang w:val="en-US" w:eastAsia="zh-CN"/>
        </w:rPr>
        <w:t>区域基础设施用地主要</w:t>
      </w:r>
      <w:r>
        <w:rPr>
          <w:rFonts w:hint="default" w:ascii="Times New Roman" w:hAnsi="Times New Roman" w:cs="Times New Roman"/>
          <w:sz w:val="30"/>
          <w:szCs w:val="30"/>
          <w:lang w:eastAsia="zh-CN"/>
        </w:rPr>
        <w:t>以公路，铁路</w:t>
      </w:r>
      <w:r>
        <w:rPr>
          <w:rFonts w:hint="eastAsia" w:ascii="Times New Roman" w:hAnsi="Times New Roman" w:cs="Times New Roman"/>
          <w:sz w:val="30"/>
          <w:szCs w:val="30"/>
          <w:lang w:eastAsia="zh-CN"/>
        </w:rPr>
        <w:t>和水工建筑用地</w:t>
      </w:r>
      <w:r>
        <w:rPr>
          <w:rFonts w:hint="default" w:ascii="Times New Roman" w:hAnsi="Times New Roman" w:cs="Times New Roman"/>
          <w:sz w:val="30"/>
          <w:szCs w:val="30"/>
          <w:lang w:eastAsia="zh-CN"/>
        </w:rPr>
        <w:t>为主</w:t>
      </w:r>
      <w:r>
        <w:rPr>
          <w:rFonts w:hint="default" w:ascii="Times New Roman" w:hAnsi="Times New Roman" w:cs="Times New Roman"/>
          <w:szCs w:val="30"/>
        </w:rPr>
        <w:t>。</w:t>
      </w:r>
      <w:r>
        <w:rPr>
          <w:rFonts w:hint="default" w:ascii="Times New Roman" w:hAnsi="Times New Roman" w:cs="Times New Roman"/>
          <w:szCs w:val="30"/>
          <w:lang w:eastAsia="zh-CN"/>
        </w:rPr>
        <w:t>规划期间，</w:t>
      </w:r>
      <w:r>
        <w:rPr>
          <w:rFonts w:hint="eastAsia" w:ascii="仿宋_GB2312" w:hAnsi="仿宋_GB2312" w:cs="仿宋_GB2312"/>
          <w:sz w:val="30"/>
          <w:szCs w:val="30"/>
          <w:highlight w:val="none"/>
          <w:lang w:val="en-US" w:eastAsia="zh-CN"/>
        </w:rPr>
        <w:t>区域基础设施用地</w:t>
      </w:r>
      <w:r>
        <w:rPr>
          <w:rFonts w:hint="eastAsia" w:ascii="Times New Roman" w:hAnsi="Times New Roman" w:cs="Times New Roman"/>
          <w:szCs w:val="30"/>
          <w:lang w:eastAsia="zh-CN"/>
        </w:rPr>
        <w:t>转变成城镇用地</w:t>
      </w:r>
      <w:r>
        <w:rPr>
          <w:rFonts w:hint="eastAsia" w:ascii="Times New Roman" w:hAnsi="Times New Roman" w:cs="Times New Roman"/>
          <w:szCs w:val="30"/>
          <w:lang w:val="en-US" w:eastAsia="zh-CN"/>
        </w:rPr>
        <w:t>0.81公顷。</w:t>
      </w:r>
      <w:r>
        <w:rPr>
          <w:rFonts w:hint="default" w:ascii="Times New Roman" w:hAnsi="Times New Roman" w:cs="Times New Roman"/>
          <w:szCs w:val="30"/>
        </w:rPr>
        <w:t>到20</w:t>
      </w:r>
      <w:r>
        <w:rPr>
          <w:rFonts w:hint="default" w:ascii="Times New Roman" w:hAnsi="Times New Roman" w:cs="Times New Roman"/>
          <w:szCs w:val="30"/>
          <w:lang w:val="en-US" w:eastAsia="zh-CN"/>
        </w:rPr>
        <w:t>35</w:t>
      </w:r>
      <w:r>
        <w:rPr>
          <w:rFonts w:hint="default" w:ascii="Times New Roman" w:hAnsi="Times New Roman" w:cs="Times New Roman"/>
          <w:szCs w:val="30"/>
        </w:rPr>
        <w:t>年，</w:t>
      </w:r>
      <w:r>
        <w:rPr>
          <w:rFonts w:hint="default" w:ascii="Times New Roman" w:hAnsi="Times New Roman" w:cs="Times New Roman"/>
          <w:sz w:val="30"/>
          <w:szCs w:val="30"/>
          <w:lang w:val="en-US" w:eastAsia="zh-CN"/>
        </w:rPr>
        <w:t>区域基础设施用地为</w:t>
      </w:r>
      <w:r>
        <w:rPr>
          <w:rFonts w:hint="eastAsia" w:ascii="Times New Roman" w:hAnsi="Times New Roman" w:cs="Times New Roman"/>
          <w:sz w:val="30"/>
          <w:szCs w:val="30"/>
          <w:lang w:val="en-US" w:eastAsia="zh-CN"/>
        </w:rPr>
        <w:t>85.97</w:t>
      </w:r>
      <w:r>
        <w:rPr>
          <w:rFonts w:hint="default" w:ascii="Times New Roman" w:hAnsi="Times New Roman" w:cs="Times New Roman"/>
          <w:sz w:val="30"/>
          <w:szCs w:val="30"/>
          <w:lang w:val="en-US" w:eastAsia="zh-CN"/>
        </w:rPr>
        <w:t>公顷</w:t>
      </w:r>
      <w:r>
        <w:rPr>
          <w:rFonts w:hint="default" w:ascii="Times New Roman" w:hAnsi="Times New Roman" w:cs="Times New Roman"/>
          <w:szCs w:val="30"/>
          <w:lang w:eastAsia="zh-CN"/>
        </w:rPr>
        <w:t>。</w:t>
      </w:r>
    </w:p>
    <w:p w14:paraId="0F36AA24">
      <w:pPr>
        <w:adjustRightInd w:val="0"/>
        <w:ind w:firstLine="600"/>
        <w:outlineLvl w:val="4"/>
        <w:rPr>
          <w:rFonts w:hint="default" w:ascii="Times New Roman" w:hAnsi="Times New Roman" w:cs="Times New Roman"/>
          <w:szCs w:val="30"/>
          <w:lang w:val="en-US" w:eastAsia="zh-CN"/>
        </w:rPr>
      </w:pPr>
      <w:r>
        <w:rPr>
          <w:rFonts w:hint="eastAsia" w:ascii="Times New Roman" w:hAnsi="Times New Roman" w:cs="Times New Roman"/>
          <w:szCs w:val="30"/>
          <w:lang w:val="en-US" w:eastAsia="zh-CN"/>
        </w:rPr>
        <w:t>4</w:t>
      </w:r>
      <w:r>
        <w:rPr>
          <w:rFonts w:hint="default" w:ascii="Times New Roman" w:hAnsi="Times New Roman" w:cs="Times New Roman"/>
          <w:szCs w:val="30"/>
          <w:lang w:val="en-US" w:eastAsia="zh-CN"/>
        </w:rPr>
        <w:t>、</w:t>
      </w:r>
      <w:r>
        <w:rPr>
          <w:rFonts w:hint="eastAsia" w:ascii="Times New Roman" w:hAnsi="Times New Roman" w:cs="Times New Roman"/>
          <w:szCs w:val="30"/>
          <w:lang w:val="en-US" w:eastAsia="zh-CN"/>
        </w:rPr>
        <w:t>其他建设</w:t>
      </w:r>
      <w:r>
        <w:rPr>
          <w:rFonts w:hint="default" w:ascii="Times New Roman" w:hAnsi="Times New Roman" w:cs="Times New Roman"/>
          <w:szCs w:val="30"/>
          <w:lang w:val="en-US" w:eastAsia="zh-CN"/>
        </w:rPr>
        <w:t>用地</w:t>
      </w:r>
    </w:p>
    <w:p w14:paraId="2176ACF8">
      <w:pPr>
        <w:adjustRightInd w:val="0"/>
        <w:ind w:firstLine="600"/>
        <w:rPr>
          <w:rFonts w:hint="default" w:ascii="Times New Roman" w:hAnsi="Times New Roman" w:eastAsia="仿宋_GB2312" w:cs="Times New Roman"/>
          <w:szCs w:val="30"/>
          <w:lang w:val="en-US" w:eastAsia="zh-CN"/>
        </w:rPr>
      </w:pPr>
      <w:r>
        <w:rPr>
          <w:rFonts w:hint="eastAsia" w:ascii="Times New Roman" w:hAnsi="Times New Roman" w:cs="Times New Roman"/>
          <w:szCs w:val="30"/>
          <w:lang w:val="en-US" w:eastAsia="zh-CN"/>
        </w:rPr>
        <w:t>其他建设</w:t>
      </w:r>
      <w:r>
        <w:rPr>
          <w:rFonts w:hint="default" w:ascii="Times New Roman" w:hAnsi="Times New Roman" w:cs="Times New Roman"/>
          <w:szCs w:val="30"/>
          <w:lang w:val="en-US" w:eastAsia="zh-CN"/>
        </w:rPr>
        <w:t>用地</w:t>
      </w:r>
      <w:r>
        <w:rPr>
          <w:rFonts w:hint="default" w:ascii="Times New Roman" w:hAnsi="Times New Roman" w:cs="Times New Roman"/>
          <w:sz w:val="30"/>
          <w:szCs w:val="30"/>
          <w:lang w:val="en-US" w:eastAsia="zh-CN"/>
        </w:rPr>
        <w:t>主要</w:t>
      </w:r>
      <w:r>
        <w:rPr>
          <w:rFonts w:hint="default" w:ascii="Times New Roman" w:hAnsi="Times New Roman" w:cs="Times New Roman"/>
          <w:sz w:val="30"/>
          <w:szCs w:val="30"/>
          <w:lang w:eastAsia="zh-CN"/>
        </w:rPr>
        <w:t>以</w:t>
      </w:r>
      <w:r>
        <w:rPr>
          <w:rFonts w:hint="eastAsia"/>
          <w:sz w:val="30"/>
          <w:szCs w:val="30"/>
          <w:lang w:val="en-US" w:eastAsia="zh-CN"/>
        </w:rPr>
        <w:t>采矿用地和特殊用地为主</w:t>
      </w:r>
      <w:r>
        <w:rPr>
          <w:rFonts w:hint="default" w:ascii="Times New Roman" w:hAnsi="Times New Roman" w:cs="Times New Roman"/>
          <w:szCs w:val="30"/>
        </w:rPr>
        <w:t>。</w:t>
      </w:r>
      <w:r>
        <w:rPr>
          <w:rFonts w:hint="default" w:ascii="Times New Roman" w:hAnsi="Times New Roman" w:cs="Times New Roman"/>
          <w:szCs w:val="30"/>
          <w:lang w:eastAsia="zh-CN"/>
        </w:rPr>
        <w:t>规划期间，</w:t>
      </w:r>
      <w:r>
        <w:rPr>
          <w:rFonts w:hint="eastAsia" w:ascii="Times New Roman" w:hAnsi="Times New Roman" w:cs="Times New Roman"/>
          <w:szCs w:val="30"/>
          <w:lang w:eastAsia="zh-CN"/>
        </w:rPr>
        <w:t>采矿用地转变成其他城镇用地</w:t>
      </w:r>
      <w:r>
        <w:rPr>
          <w:rFonts w:hint="eastAsia" w:ascii="Times New Roman" w:hAnsi="Times New Roman" w:cs="Times New Roman"/>
          <w:szCs w:val="30"/>
          <w:lang w:val="en-US" w:eastAsia="zh-CN"/>
        </w:rPr>
        <w:t>1.69公顷，矿山修复地类调出1.68公顷</w:t>
      </w:r>
      <w:r>
        <w:rPr>
          <w:rFonts w:hint="default" w:ascii="Times New Roman" w:hAnsi="Times New Roman" w:cs="Times New Roman"/>
          <w:szCs w:val="30"/>
          <w:lang w:val="en-US" w:eastAsia="zh-CN"/>
        </w:rPr>
        <w:t>，</w:t>
      </w:r>
      <w:r>
        <w:rPr>
          <w:rFonts w:hint="eastAsia" w:ascii="Times New Roman" w:hAnsi="Times New Roman" w:cs="Times New Roman"/>
          <w:szCs w:val="30"/>
          <w:lang w:val="en-US" w:eastAsia="zh-CN"/>
        </w:rPr>
        <w:t>土地复垦调出0.60公顷，新增用地1.26公顷。</w:t>
      </w:r>
      <w:r>
        <w:rPr>
          <w:rFonts w:hint="default" w:ascii="Times New Roman" w:hAnsi="Times New Roman" w:cs="Times New Roman"/>
          <w:szCs w:val="30"/>
        </w:rPr>
        <w:t>到20</w:t>
      </w:r>
      <w:r>
        <w:rPr>
          <w:rFonts w:hint="default" w:ascii="Times New Roman" w:hAnsi="Times New Roman" w:cs="Times New Roman"/>
          <w:szCs w:val="30"/>
          <w:lang w:val="en-US" w:eastAsia="zh-CN"/>
        </w:rPr>
        <w:t>35</w:t>
      </w:r>
      <w:r>
        <w:rPr>
          <w:rFonts w:hint="default" w:ascii="Times New Roman" w:hAnsi="Times New Roman" w:cs="Times New Roman"/>
          <w:szCs w:val="30"/>
        </w:rPr>
        <w:t>年，</w:t>
      </w:r>
      <w:r>
        <w:rPr>
          <w:rFonts w:hint="eastAsia" w:ascii="Times New Roman" w:hAnsi="Times New Roman" w:cs="Times New Roman"/>
          <w:szCs w:val="30"/>
          <w:lang w:val="en-US" w:eastAsia="zh-CN"/>
        </w:rPr>
        <w:t>其他建设</w:t>
      </w:r>
      <w:r>
        <w:rPr>
          <w:rFonts w:hint="default" w:ascii="Times New Roman" w:hAnsi="Times New Roman" w:cs="Times New Roman"/>
          <w:szCs w:val="30"/>
          <w:lang w:val="en-US" w:eastAsia="zh-CN"/>
        </w:rPr>
        <w:t>用地</w:t>
      </w:r>
      <w:r>
        <w:rPr>
          <w:rFonts w:hint="eastAsia" w:ascii="Times New Roman" w:hAnsi="Times New Roman" w:cs="Times New Roman"/>
          <w:szCs w:val="30"/>
          <w:lang w:val="en-US" w:eastAsia="zh-CN"/>
        </w:rPr>
        <w:t>面积保有量</w:t>
      </w:r>
      <w:r>
        <w:rPr>
          <w:rFonts w:hint="default" w:ascii="Times New Roman" w:hAnsi="Times New Roman" w:cs="Times New Roman"/>
          <w:sz w:val="30"/>
          <w:szCs w:val="30"/>
          <w:lang w:val="en-US" w:eastAsia="zh-CN"/>
        </w:rPr>
        <w:t>为</w:t>
      </w:r>
      <w:r>
        <w:rPr>
          <w:rFonts w:hint="eastAsia" w:ascii="Times New Roman" w:hAnsi="Times New Roman" w:cs="Times New Roman"/>
          <w:sz w:val="30"/>
          <w:szCs w:val="30"/>
          <w:lang w:val="en-US" w:eastAsia="zh-CN"/>
        </w:rPr>
        <w:t>28.03</w:t>
      </w:r>
      <w:r>
        <w:rPr>
          <w:rFonts w:hint="default" w:ascii="Times New Roman" w:hAnsi="Times New Roman" w:cs="Times New Roman"/>
          <w:sz w:val="30"/>
          <w:szCs w:val="30"/>
          <w:lang w:val="en-US" w:eastAsia="zh-CN"/>
        </w:rPr>
        <w:t>公顷</w:t>
      </w:r>
      <w:r>
        <w:rPr>
          <w:rFonts w:hint="default" w:ascii="Times New Roman" w:hAnsi="Times New Roman" w:cs="Times New Roman"/>
          <w:szCs w:val="30"/>
          <w:lang w:eastAsia="zh-CN"/>
        </w:rPr>
        <w:t>，</w:t>
      </w:r>
      <w:r>
        <w:rPr>
          <w:rFonts w:hint="eastAsia" w:ascii="Times New Roman" w:hAnsi="Times New Roman" w:cs="Times New Roman"/>
          <w:szCs w:val="30"/>
          <w:lang w:eastAsia="zh-CN"/>
        </w:rPr>
        <w:t>减少</w:t>
      </w:r>
      <w:r>
        <w:rPr>
          <w:rFonts w:hint="eastAsia" w:ascii="Times New Roman" w:hAnsi="Times New Roman" w:cs="Times New Roman"/>
          <w:szCs w:val="30"/>
          <w:lang w:val="en-US" w:eastAsia="zh-CN"/>
        </w:rPr>
        <w:t>2.71</w:t>
      </w:r>
      <w:r>
        <w:rPr>
          <w:rFonts w:hint="default" w:ascii="Times New Roman" w:hAnsi="Times New Roman" w:cs="Times New Roman"/>
          <w:szCs w:val="30"/>
          <w:lang w:eastAsia="zh-CN"/>
        </w:rPr>
        <w:t>公顷。</w:t>
      </w:r>
    </w:p>
    <w:p w14:paraId="6A8F5E57">
      <w:pPr>
        <w:widowControl w:val="0"/>
        <w:numPr>
          <w:ilvl w:val="0"/>
          <w:numId w:val="0"/>
        </w:numPr>
        <w:bidi w:val="0"/>
        <w:ind w:firstLine="600" w:firstLineChars="200"/>
        <w:outlineLvl w:val="3"/>
        <w:rPr>
          <w:rFonts w:hint="eastAsia" w:ascii="Times New Roman" w:hAnsi="Times New Roman" w:cs="Times New Roman"/>
          <w:szCs w:val="24"/>
          <w:lang w:val="en-US" w:eastAsia="zh-CN"/>
        </w:rPr>
      </w:pPr>
      <w:r>
        <w:rPr>
          <w:rFonts w:hint="eastAsia" w:ascii="Times New Roman" w:hAnsi="Times New Roman" w:eastAsia="仿宋_GB2312" w:cs="Times New Roman"/>
          <w:kern w:val="2"/>
          <w:sz w:val="30"/>
          <w:szCs w:val="24"/>
          <w:lang w:val="en-US" w:eastAsia="zh-CN" w:bidi="ar-SA"/>
        </w:rPr>
        <w:t>（</w:t>
      </w:r>
      <w:r>
        <w:rPr>
          <w:rFonts w:hint="eastAsia" w:ascii="Times New Roman" w:hAnsi="Times New Roman" w:cs="Times New Roman"/>
          <w:kern w:val="2"/>
          <w:sz w:val="30"/>
          <w:szCs w:val="24"/>
          <w:lang w:val="en-US" w:eastAsia="zh-CN" w:bidi="ar-SA"/>
        </w:rPr>
        <w:t>三</w:t>
      </w:r>
      <w:r>
        <w:rPr>
          <w:rFonts w:hint="eastAsia" w:ascii="Times New Roman" w:hAnsi="Times New Roman" w:eastAsia="仿宋_GB2312" w:cs="Times New Roman"/>
          <w:kern w:val="2"/>
          <w:sz w:val="30"/>
          <w:szCs w:val="24"/>
          <w:lang w:val="en-US" w:eastAsia="zh-CN" w:bidi="ar-SA"/>
        </w:rPr>
        <w:t>）</w:t>
      </w:r>
      <w:r>
        <w:rPr>
          <w:rFonts w:hint="eastAsia" w:ascii="Times New Roman" w:hAnsi="Times New Roman" w:cs="Times New Roman"/>
          <w:szCs w:val="24"/>
          <w:lang w:val="en-US" w:eastAsia="zh-CN"/>
        </w:rPr>
        <w:t>其他土地布局优化</w:t>
      </w:r>
    </w:p>
    <w:p w14:paraId="5AFC1FA1">
      <w:pPr>
        <w:ind w:firstLine="600"/>
      </w:pPr>
      <w:r>
        <w:rPr>
          <w:rFonts w:hint="eastAsia" w:ascii="Times New Roman" w:hAnsi="Times New Roman" w:cs="Times New Roman"/>
          <w:szCs w:val="30"/>
        </w:rPr>
        <w:t>充分发挥其他土地的生态、景观、间隔的综合功能，到2035年，其他</w:t>
      </w:r>
      <w:r>
        <w:rPr>
          <w:rFonts w:hint="eastAsia" w:ascii="Times New Roman" w:hAnsi="Times New Roman" w:cs="Times New Roman"/>
          <w:szCs w:val="30"/>
          <w:lang w:eastAsia="zh-CN"/>
        </w:rPr>
        <w:t>土地</w:t>
      </w:r>
      <w:r>
        <w:rPr>
          <w:rFonts w:hint="eastAsia" w:ascii="Times New Roman" w:hAnsi="Times New Roman" w:cs="Times New Roman"/>
          <w:szCs w:val="30"/>
        </w:rPr>
        <w:t>面积</w:t>
      </w:r>
      <w:r>
        <w:rPr>
          <w:rFonts w:hint="eastAsia" w:ascii="Times New Roman" w:hAnsi="Times New Roman" w:cs="Times New Roman"/>
          <w:szCs w:val="30"/>
          <w:lang w:val="en-US" w:eastAsia="zh-CN"/>
        </w:rPr>
        <w:t>245.26</w:t>
      </w:r>
      <w:r>
        <w:rPr>
          <w:rFonts w:hint="eastAsia" w:ascii="Times New Roman" w:hAnsi="Times New Roman" w:cs="Times New Roman"/>
          <w:szCs w:val="30"/>
        </w:rPr>
        <w:t>公顷</w:t>
      </w:r>
      <w:r>
        <w:rPr>
          <w:rFonts w:hint="eastAsia" w:ascii="Times New Roman" w:hAnsi="Times New Roman" w:cs="Times New Roman"/>
          <w:szCs w:val="30"/>
          <w:lang w:eastAsia="zh-CN"/>
        </w:rPr>
        <w:t>，</w:t>
      </w:r>
      <w:r>
        <w:rPr>
          <w:rFonts w:hint="eastAsia" w:ascii="Times New Roman" w:hAnsi="Times New Roman" w:cs="Times New Roman"/>
          <w:szCs w:val="30"/>
          <w:lang w:val="en-US" w:eastAsia="zh-CN"/>
        </w:rPr>
        <w:t>增加1.15公顷</w:t>
      </w:r>
      <w:r>
        <w:rPr>
          <w:rFonts w:hint="eastAsia" w:ascii="Times New Roman" w:hAnsi="Times New Roman" w:cs="Times New Roman"/>
          <w:szCs w:val="30"/>
          <w:lang w:eastAsia="zh-CN"/>
        </w:rPr>
        <w:t>。</w:t>
      </w:r>
    </w:p>
    <w:p w14:paraId="278F4E0B">
      <w:pPr>
        <w:pStyle w:val="2"/>
        <w:spacing w:after="204"/>
        <w:ind w:firstLine="560"/>
      </w:pPr>
    </w:p>
    <w:p w14:paraId="5AC5ED7C">
      <w:pPr>
        <w:pStyle w:val="4"/>
        <w:numPr>
          <w:ilvl w:val="0"/>
          <w:numId w:val="3"/>
        </w:numPr>
        <w:spacing w:before="204" w:after="81"/>
        <w:ind w:firstLine="0" w:firstLineChars="0"/>
        <w:rPr>
          <w:rFonts w:hint="eastAsia" w:ascii="Times New Roman" w:hAnsi="Times New Roman" w:cs="Times New Roman"/>
          <w:lang w:val="en-US" w:eastAsia="zh-CN"/>
        </w:rPr>
      </w:pPr>
      <w:r>
        <w:rPr>
          <w:rFonts w:hint="eastAsia" w:ascii="Times New Roman" w:hAnsi="Times New Roman" w:cs="Times New Roman"/>
          <w:lang w:val="en-US" w:eastAsia="zh-CN"/>
        </w:rPr>
        <w:t xml:space="preserve"> 镇村体系与村庄分类</w:t>
      </w:r>
    </w:p>
    <w:p w14:paraId="3F4F63C3">
      <w:pPr>
        <w:pStyle w:val="75"/>
        <w:numPr>
          <w:ilvl w:val="0"/>
          <w:numId w:val="6"/>
        </w:numPr>
        <w:ind w:firstLine="602"/>
        <w:outlineLvl w:val="2"/>
        <w:rPr>
          <w:rFonts w:hint="default" w:ascii="Times New Roman" w:hAnsi="Times New Roman" w:cs="Times New Roman"/>
          <w:lang w:val="en-US" w:eastAsia="zh-CN"/>
        </w:rPr>
      </w:pPr>
      <w:r>
        <w:rPr>
          <w:rFonts w:hint="eastAsia" w:ascii="Times New Roman" w:hAnsi="Times New Roman" w:cs="Times New Roman"/>
          <w:lang w:val="en-US" w:eastAsia="zh-CN"/>
        </w:rPr>
        <w:t>镇村体系结构</w:t>
      </w:r>
    </w:p>
    <w:p w14:paraId="6E18DB9B">
      <w:pPr>
        <w:pStyle w:val="76"/>
        <w:ind w:firstLine="600"/>
        <w:rPr>
          <w:rFonts w:hint="eastAsia" w:cs="Times New Roman"/>
          <w:color w:val="auto"/>
        </w:rPr>
      </w:pPr>
      <w:r>
        <w:rPr>
          <w:rFonts w:hint="eastAsia" w:cs="Times New Roman"/>
        </w:rPr>
        <w:t>按照“优化资源配置、增强服务能力、引导人口集聚、便于乡村治理”原则</w:t>
      </w:r>
      <w:r>
        <w:rPr>
          <w:rFonts w:hint="eastAsia" w:cs="Times New Roman"/>
          <w:color w:val="auto"/>
        </w:rPr>
        <w:t>，充分考虑产业发展、地理环境、公服投放等因素，以镇驻地、中心村带动周边一般村，构建“</w:t>
      </w:r>
      <w:r>
        <w:rPr>
          <w:rFonts w:hint="eastAsia" w:cs="Times New Roman"/>
          <w:color w:val="auto"/>
          <w:lang w:val="en-US" w:eastAsia="zh-CN"/>
        </w:rPr>
        <w:t>一个镇区、一个中心村，两个一般村</w:t>
      </w:r>
      <w:r>
        <w:rPr>
          <w:rFonts w:hint="eastAsia" w:cs="Times New Roman"/>
          <w:color w:val="auto"/>
        </w:rPr>
        <w:t>”组成的镇村体系。</w:t>
      </w:r>
    </w:p>
    <w:p w14:paraId="4FF8BB57">
      <w:pPr>
        <w:pStyle w:val="76"/>
        <w:ind w:firstLine="600"/>
        <w:rPr>
          <w:rFonts w:hint="eastAsia" w:cs="Times New Roman"/>
          <w:color w:val="auto"/>
        </w:rPr>
      </w:pPr>
      <w:r>
        <w:rPr>
          <w:rFonts w:hint="eastAsia" w:cs="Times New Roman"/>
          <w:color w:val="auto"/>
        </w:rPr>
        <w:t>1个镇区：镇驻地范围。</w:t>
      </w:r>
    </w:p>
    <w:p w14:paraId="6290159F">
      <w:pPr>
        <w:pStyle w:val="76"/>
        <w:ind w:firstLine="600"/>
        <w:rPr>
          <w:rFonts w:hint="eastAsia" w:cs="Times New Roman"/>
          <w:color w:val="auto"/>
        </w:rPr>
      </w:pPr>
      <w:r>
        <w:rPr>
          <w:rFonts w:hint="eastAsia" w:cs="Times New Roman"/>
          <w:color w:val="auto"/>
          <w:lang w:val="en-US" w:eastAsia="zh-CN"/>
        </w:rPr>
        <w:t>1</w:t>
      </w:r>
      <w:r>
        <w:rPr>
          <w:rFonts w:hint="eastAsia" w:cs="Times New Roman"/>
          <w:color w:val="auto"/>
        </w:rPr>
        <w:t>个中心村：</w:t>
      </w:r>
      <w:r>
        <w:rPr>
          <w:rFonts w:hint="eastAsia" w:cs="Times New Roman"/>
          <w:color w:val="auto"/>
          <w:lang w:val="en-US" w:eastAsia="zh-CN"/>
        </w:rPr>
        <w:t>永生村</w:t>
      </w:r>
      <w:r>
        <w:rPr>
          <w:rFonts w:hint="eastAsia" w:cs="Times New Roman"/>
          <w:color w:val="auto"/>
        </w:rPr>
        <w:t>。</w:t>
      </w:r>
    </w:p>
    <w:p w14:paraId="0ECD30E9">
      <w:pPr>
        <w:pStyle w:val="76"/>
        <w:ind w:firstLine="600"/>
        <w:rPr>
          <w:rFonts w:hint="default" w:cs="Times New Roman"/>
          <w:color w:val="auto"/>
          <w:lang w:val="en-US" w:eastAsia="zh-CN"/>
        </w:rPr>
      </w:pPr>
      <w:r>
        <w:rPr>
          <w:rFonts w:hint="eastAsia" w:cs="Times New Roman"/>
          <w:color w:val="auto"/>
          <w:lang w:val="en-US" w:eastAsia="zh-CN"/>
        </w:rPr>
        <w:t>2</w:t>
      </w:r>
      <w:r>
        <w:rPr>
          <w:rFonts w:hint="eastAsia" w:cs="Times New Roman"/>
          <w:color w:val="auto"/>
        </w:rPr>
        <w:t>个一般村：</w:t>
      </w:r>
      <w:r>
        <w:rPr>
          <w:rFonts w:hint="eastAsia" w:cs="Times New Roman"/>
          <w:color w:val="auto"/>
          <w:lang w:val="en-US" w:eastAsia="zh-CN"/>
        </w:rPr>
        <w:t>草凉驿村、白家店村</w:t>
      </w:r>
      <w:r>
        <w:rPr>
          <w:rFonts w:hint="eastAsia" w:cs="Times New Roman"/>
          <w:color w:val="auto"/>
        </w:rPr>
        <w:t>。</w:t>
      </w:r>
    </w:p>
    <w:p w14:paraId="6804A2A3">
      <w:pPr>
        <w:pStyle w:val="75"/>
        <w:numPr>
          <w:ilvl w:val="0"/>
          <w:numId w:val="6"/>
        </w:numPr>
        <w:ind w:firstLine="602"/>
        <w:outlineLvl w:val="2"/>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村庄分类</w:t>
      </w:r>
    </w:p>
    <w:p w14:paraId="48A4482F">
      <w:pPr>
        <w:pStyle w:val="74"/>
        <w:ind w:firstLine="602"/>
        <w:rPr>
          <w:rFonts w:hint="eastAsia"/>
          <w:color w:val="auto"/>
          <w:lang w:eastAsia="zh-CN"/>
        </w:rPr>
      </w:pPr>
      <w:r>
        <w:rPr>
          <w:rFonts w:hint="eastAsia" w:cs="Times New Roman"/>
          <w:color w:val="auto"/>
          <w:lang w:val="en-US" w:eastAsia="zh-CN"/>
        </w:rPr>
        <w:t>根据</w:t>
      </w:r>
      <w:r>
        <w:rPr>
          <w:rFonts w:hint="eastAsia"/>
          <w:color w:val="auto"/>
          <w:lang w:val="en-US" w:eastAsia="zh-CN"/>
        </w:rPr>
        <w:t>上位规划村庄分类成果，红花铺镇4个村庄划分为集聚提升类、城郊融合类、特色保护</w:t>
      </w:r>
      <w:r>
        <w:rPr>
          <w:color w:val="auto"/>
        </w:rPr>
        <w:t>类三类</w:t>
      </w:r>
      <w:r>
        <w:rPr>
          <w:rFonts w:hint="eastAsia"/>
          <w:color w:val="auto"/>
          <w:lang w:eastAsia="zh-CN"/>
        </w:rPr>
        <w:t>，</w:t>
      </w:r>
      <w:r>
        <w:rPr>
          <w:color w:val="auto"/>
        </w:rPr>
        <w:t>其中集聚提升类</w:t>
      </w:r>
      <w:r>
        <w:rPr>
          <w:rFonts w:hint="eastAsia"/>
          <w:color w:val="auto"/>
          <w:lang w:val="en-US" w:eastAsia="zh-CN"/>
        </w:rPr>
        <w:t>2</w:t>
      </w:r>
      <w:r>
        <w:rPr>
          <w:color w:val="auto"/>
        </w:rPr>
        <w:t>个，城郊融合类</w:t>
      </w:r>
      <w:r>
        <w:rPr>
          <w:rFonts w:hint="eastAsia"/>
          <w:color w:val="auto"/>
          <w:lang w:val="en-US" w:eastAsia="zh-CN"/>
        </w:rPr>
        <w:t>1</w:t>
      </w:r>
      <w:r>
        <w:rPr>
          <w:color w:val="auto"/>
        </w:rPr>
        <w:t>个，特色保护类</w:t>
      </w:r>
      <w:r>
        <w:rPr>
          <w:rFonts w:hint="eastAsia"/>
          <w:color w:val="auto"/>
          <w:lang w:val="en-US" w:eastAsia="zh-CN"/>
        </w:rPr>
        <w:t>1</w:t>
      </w:r>
      <w:r>
        <w:rPr>
          <w:color w:val="auto"/>
        </w:rPr>
        <w:t>个</w:t>
      </w:r>
      <w:r>
        <w:rPr>
          <w:rFonts w:hint="eastAsia"/>
          <w:color w:val="auto"/>
          <w:lang w:eastAsia="zh-CN"/>
        </w:rPr>
        <w:t>。</w:t>
      </w:r>
    </w:p>
    <w:p w14:paraId="109E5610">
      <w:pPr>
        <w:pStyle w:val="74"/>
        <w:ind w:firstLine="602"/>
        <w:rPr>
          <w:rFonts w:hint="default" w:eastAsia="仿宋_GB2312"/>
          <w:color w:val="auto"/>
          <w:lang w:val="en-US" w:eastAsia="zh-CN"/>
        </w:rPr>
      </w:pPr>
      <w:r>
        <w:rPr>
          <w:rFonts w:hint="eastAsia"/>
          <w:color w:val="auto"/>
          <w:lang w:val="en-US" w:eastAsia="zh-CN"/>
        </w:rPr>
        <w:t>集聚提升类（2个）：</w:t>
      </w:r>
      <w:r>
        <w:rPr>
          <w:rFonts w:hint="eastAsia" w:cs="Times New Roman"/>
          <w:color w:val="auto"/>
          <w:lang w:val="en-US" w:eastAsia="zh-CN"/>
        </w:rPr>
        <w:t>草凉驿村、白家店村</w:t>
      </w:r>
      <w:r>
        <w:rPr>
          <w:rFonts w:hint="eastAsia"/>
          <w:color w:val="auto"/>
          <w:lang w:val="en-US" w:eastAsia="zh-CN"/>
        </w:rPr>
        <w:t>。</w:t>
      </w:r>
    </w:p>
    <w:p w14:paraId="16912BD3">
      <w:pPr>
        <w:pStyle w:val="74"/>
        <w:ind w:firstLine="602"/>
        <w:rPr>
          <w:rFonts w:hint="eastAsia" w:eastAsia="仿宋_GB2312"/>
          <w:color w:val="auto"/>
          <w:lang w:eastAsia="zh-CN"/>
        </w:rPr>
      </w:pPr>
      <w:r>
        <w:rPr>
          <w:color w:val="auto"/>
        </w:rPr>
        <w:t>城郊融合类</w:t>
      </w:r>
      <w:r>
        <w:rPr>
          <w:rFonts w:hint="eastAsia"/>
          <w:color w:val="auto"/>
          <w:lang w:eastAsia="zh-CN"/>
        </w:rPr>
        <w:t>（</w:t>
      </w:r>
      <w:r>
        <w:rPr>
          <w:rFonts w:hint="eastAsia"/>
          <w:color w:val="auto"/>
          <w:lang w:val="en-US" w:eastAsia="zh-CN"/>
        </w:rPr>
        <w:t>1个</w:t>
      </w:r>
      <w:r>
        <w:rPr>
          <w:rFonts w:hint="eastAsia"/>
          <w:color w:val="auto"/>
          <w:lang w:eastAsia="zh-CN"/>
        </w:rPr>
        <w:t>）：</w:t>
      </w:r>
      <w:r>
        <w:rPr>
          <w:rFonts w:hint="eastAsia" w:cs="Times New Roman"/>
          <w:color w:val="auto"/>
          <w:lang w:val="en-US" w:eastAsia="zh-CN"/>
        </w:rPr>
        <w:t>红花铺村</w:t>
      </w:r>
      <w:r>
        <w:rPr>
          <w:rFonts w:hint="eastAsia"/>
          <w:color w:val="auto"/>
          <w:lang w:val="en-US" w:eastAsia="zh-CN"/>
        </w:rPr>
        <w:t>。</w:t>
      </w:r>
    </w:p>
    <w:p w14:paraId="7FE590E0">
      <w:pPr>
        <w:pStyle w:val="74"/>
        <w:ind w:firstLine="602"/>
        <w:rPr>
          <w:rFonts w:hint="eastAsia" w:cs="Times New Roman"/>
          <w:color w:val="auto"/>
        </w:rPr>
      </w:pPr>
      <w:r>
        <w:rPr>
          <w:color w:val="auto"/>
        </w:rPr>
        <w:t>特色保护类</w:t>
      </w:r>
      <w:r>
        <w:rPr>
          <w:rFonts w:hint="eastAsia"/>
          <w:color w:val="auto"/>
          <w:lang w:eastAsia="zh-CN"/>
        </w:rPr>
        <w:t>（</w:t>
      </w:r>
      <w:r>
        <w:rPr>
          <w:rFonts w:hint="eastAsia"/>
          <w:color w:val="auto"/>
          <w:lang w:val="en-US" w:eastAsia="zh-CN"/>
        </w:rPr>
        <w:t>2个</w:t>
      </w:r>
      <w:r>
        <w:rPr>
          <w:rFonts w:hint="eastAsia"/>
          <w:color w:val="auto"/>
          <w:lang w:eastAsia="zh-CN"/>
        </w:rPr>
        <w:t>）：</w:t>
      </w:r>
      <w:r>
        <w:rPr>
          <w:rFonts w:hint="eastAsia" w:cs="Times New Roman"/>
          <w:color w:val="auto"/>
          <w:lang w:val="en-US" w:eastAsia="zh-CN"/>
        </w:rPr>
        <w:t>永生村</w:t>
      </w:r>
      <w:r>
        <w:rPr>
          <w:rFonts w:hint="eastAsia"/>
          <w:color w:val="auto"/>
          <w:lang w:val="en-US" w:eastAsia="zh-CN"/>
        </w:rPr>
        <w:t>。</w:t>
      </w:r>
    </w:p>
    <w:p w14:paraId="6EFAE62C">
      <w:pPr>
        <w:rPr>
          <w:rFonts w:hint="default"/>
          <w:b/>
          <w:bCs/>
          <w:lang w:val="en-US" w:eastAsia="zh-CN"/>
        </w:rPr>
        <w:sectPr>
          <w:headerReference r:id="rId19" w:type="default"/>
          <w:pgSz w:w="11906" w:h="16838"/>
          <w:pgMar w:top="1701" w:right="1418" w:bottom="1531" w:left="1701" w:header="1134" w:footer="737" w:gutter="0"/>
          <w:cols w:space="425" w:num="1"/>
          <w:docGrid w:type="lines" w:linePitch="408" w:charSpace="0"/>
        </w:sectPr>
      </w:pPr>
    </w:p>
    <w:p w14:paraId="7C5E0A00">
      <w:pPr>
        <w:pStyle w:val="3"/>
        <w:spacing w:before="204" w:after="81"/>
        <w:ind w:firstLine="0" w:firstLineChars="0"/>
        <w:rPr>
          <w:rFonts w:ascii="Times New Roman" w:hAnsi="Times New Roman" w:cs="Times New Roman"/>
          <w:b/>
          <w:bCs w:val="0"/>
        </w:rPr>
      </w:pPr>
      <w:bookmarkStart w:id="47" w:name="_Toc28425"/>
      <w:bookmarkStart w:id="48" w:name="_Toc27923"/>
      <w:r>
        <w:rPr>
          <w:rFonts w:ascii="Times New Roman" w:hAnsi="Times New Roman" w:cs="Times New Roman"/>
          <w:b/>
          <w:bCs w:val="0"/>
        </w:rPr>
        <w:t>第</w:t>
      </w:r>
      <w:r>
        <w:rPr>
          <w:rFonts w:hint="eastAsia" w:ascii="Times New Roman" w:hAnsi="Times New Roman" w:cs="Times New Roman"/>
          <w:b/>
          <w:bCs w:val="0"/>
        </w:rPr>
        <w:t>五</w:t>
      </w:r>
      <w:r>
        <w:rPr>
          <w:rFonts w:ascii="Times New Roman" w:hAnsi="Times New Roman" w:cs="Times New Roman"/>
          <w:b/>
          <w:bCs w:val="0"/>
        </w:rPr>
        <w:t xml:space="preserve">章  </w:t>
      </w:r>
      <w:r>
        <w:rPr>
          <w:rFonts w:hint="eastAsia" w:ascii="Times New Roman" w:hAnsi="Times New Roman" w:cs="Times New Roman"/>
          <w:b/>
          <w:bCs w:val="0"/>
        </w:rPr>
        <w:t>自然资源保护与利用</w:t>
      </w:r>
      <w:bookmarkEnd w:id="47"/>
      <w:bookmarkEnd w:id="48"/>
    </w:p>
    <w:p w14:paraId="701B9EDD">
      <w:pPr>
        <w:pStyle w:val="4"/>
        <w:keepNext/>
        <w:keepLines/>
        <w:pageBreakBefore w:val="0"/>
        <w:widowControl/>
        <w:kinsoku/>
        <w:wordWrap/>
        <w:overflowPunct/>
        <w:topLinePunct w:val="0"/>
        <w:autoSpaceDE/>
        <w:autoSpaceDN/>
        <w:bidi w:val="0"/>
        <w:adjustRightInd/>
        <w:snapToGrid/>
        <w:spacing w:before="204" w:after="81"/>
        <w:ind w:firstLine="0" w:firstLineChars="0"/>
        <w:jc w:val="center"/>
        <w:textAlignment w:val="auto"/>
        <w:rPr>
          <w:rFonts w:hint="default" w:ascii="Times New Roman" w:hAnsi="Times New Roman" w:eastAsia="仿宋_GB2312" w:cs="Times New Roman"/>
          <w:highlight w:val="none"/>
          <w:lang w:val="en-US" w:eastAsia="zh-CN"/>
        </w:rPr>
      </w:pPr>
      <w:bookmarkStart w:id="49" w:name="_Toc16550"/>
      <w:bookmarkStart w:id="50" w:name="_Toc20492"/>
      <w:bookmarkStart w:id="51" w:name="_Toc6061"/>
      <w:r>
        <w:rPr>
          <w:rFonts w:ascii="Times New Roman" w:hAnsi="Times New Roman" w:cs="Times New Roman"/>
          <w:highlight w:val="none"/>
        </w:rPr>
        <w:t xml:space="preserve">第一节  </w:t>
      </w:r>
      <w:bookmarkEnd w:id="49"/>
      <w:r>
        <w:rPr>
          <w:rFonts w:hint="eastAsia" w:ascii="Times New Roman" w:hAnsi="Times New Roman" w:cs="Times New Roman"/>
          <w:highlight w:val="none"/>
          <w:lang w:val="en-US" w:eastAsia="zh-CN"/>
        </w:rPr>
        <w:t>耕地资源保护利用</w:t>
      </w:r>
      <w:bookmarkEnd w:id="50"/>
      <w:bookmarkEnd w:id="51"/>
    </w:p>
    <w:p w14:paraId="45289FB0">
      <w:pPr>
        <w:pStyle w:val="5"/>
        <w:widowControl w:val="0"/>
        <w:numPr>
          <w:ilvl w:val="0"/>
          <w:numId w:val="7"/>
        </w:numPr>
        <w:tabs>
          <w:tab w:val="left" w:pos="420"/>
        </w:tabs>
        <w:spacing w:beforeAutospacing="1" w:line="240" w:lineRule="auto"/>
        <w:ind w:left="102" w:firstLine="602"/>
        <w:rPr>
          <w:rFonts w:hint="eastAsia" w:ascii="仿宋_GB2312" w:hAnsi="仿宋" w:cs="Times New Roman"/>
          <w:szCs w:val="30"/>
          <w:lang w:val="en-US" w:eastAsia="zh-CN"/>
        </w:rPr>
      </w:pPr>
      <w:r>
        <w:rPr>
          <w:rFonts w:hint="eastAsia" w:ascii="仿宋_GB2312" w:hAnsi="仿宋" w:cs="Times New Roman"/>
          <w:szCs w:val="30"/>
          <w:lang w:val="en-US" w:eastAsia="zh-CN"/>
        </w:rPr>
        <w:t>落实耕地和永久基本农田保护任务</w:t>
      </w:r>
    </w:p>
    <w:p w14:paraId="235F22D9">
      <w:pPr>
        <w:ind w:firstLine="600"/>
        <w:rPr>
          <w:rFonts w:hint="eastAsia" w:ascii="Times New Roman" w:hAnsi="Times New Roman" w:cs="Times New Roman"/>
          <w:b w:val="0"/>
          <w:bCs w:val="0"/>
          <w:szCs w:val="30"/>
          <w:highlight w:val="none"/>
          <w:lang w:val="en-US" w:eastAsia="zh-CN"/>
        </w:rPr>
      </w:pPr>
      <w:r>
        <w:t>按照数量、质量、生态“三位一体”保护要求，落实“藏粮于地、藏粮于技”战略，严格保护耕地，确保全镇耕地数量不减少、质量有提升、生态有改善，布局更加集中连片。</w:t>
      </w:r>
      <w:r>
        <w:rPr>
          <w:rFonts w:hint="eastAsia" w:ascii="Times New Roman" w:hAnsi="Times New Roman" w:cs="Times New Roman"/>
          <w:b w:val="0"/>
          <w:bCs w:val="0"/>
          <w:szCs w:val="30"/>
          <w:highlight w:val="none"/>
          <w:lang w:val="en-US" w:eastAsia="zh-CN"/>
        </w:rPr>
        <w:t>根据凤县国土空间总体规划任务，到2035年，红花铺镇耕地保护目标为201.89公顷，永久基本农田保护面积为160.33公顷。</w:t>
      </w:r>
    </w:p>
    <w:p w14:paraId="182C0758">
      <w:pPr>
        <w:pStyle w:val="5"/>
        <w:widowControl w:val="0"/>
        <w:numPr>
          <w:ilvl w:val="0"/>
          <w:numId w:val="7"/>
        </w:numPr>
        <w:tabs>
          <w:tab w:val="left" w:pos="420"/>
        </w:tabs>
        <w:spacing w:beforeAutospacing="1" w:line="240" w:lineRule="auto"/>
        <w:ind w:left="102" w:firstLine="602"/>
        <w:rPr>
          <w:rFonts w:hint="eastAsia" w:ascii="仿宋_GB2312" w:hAnsi="仿宋" w:cs="Times New Roman"/>
          <w:szCs w:val="30"/>
          <w:lang w:val="en-US" w:eastAsia="zh-CN"/>
        </w:rPr>
      </w:pPr>
      <w:r>
        <w:rPr>
          <w:rFonts w:hint="eastAsia" w:ascii="仿宋_GB2312" w:hAnsi="仿宋" w:cs="Times New Roman"/>
          <w:szCs w:val="30"/>
          <w:lang w:val="en-US" w:eastAsia="zh-CN"/>
        </w:rPr>
        <w:t>严控耕地资源利用方向</w:t>
      </w:r>
    </w:p>
    <w:p w14:paraId="19CADBCB">
      <w:pPr>
        <w:keepNext w:val="0"/>
        <w:keepLines w:val="0"/>
        <w:widowControl/>
        <w:suppressLineNumbers w:val="0"/>
        <w:jc w:val="left"/>
        <w:rPr>
          <w:rFonts w:hint="eastAsia" w:ascii="仿宋_GB2312" w:hAnsi="宋体" w:eastAsia="仿宋_GB2312" w:cs="仿宋_GB2312"/>
          <w:color w:val="000000"/>
          <w:kern w:val="0"/>
          <w:sz w:val="30"/>
          <w:szCs w:val="30"/>
          <w:lang w:val="en-US" w:eastAsia="zh-CN" w:bidi="ar"/>
        </w:rPr>
      </w:pPr>
      <w:r>
        <w:rPr>
          <w:rFonts w:hint="eastAsia"/>
          <w:b w:val="0"/>
          <w:bCs w:val="0"/>
        </w:rPr>
        <w:t>坚决遏制耕地“非农化”、防止“非粮化”，守住粮食安全底线</w:t>
      </w:r>
      <w:r>
        <w:rPr>
          <w:rFonts w:hint="eastAsia" w:ascii="Times New Roman" w:hAnsi="Times New Roman" w:cs="Times New Roman"/>
          <w:b w:val="0"/>
          <w:bCs w:val="0"/>
          <w:szCs w:val="30"/>
          <w:highlight w:val="none"/>
          <w:lang w:val="en-US" w:eastAsia="zh-CN"/>
        </w:rPr>
        <w:t>。严格控制耕地向林地、园地、农业设施建设用地等农用地的转化。</w:t>
      </w:r>
      <w:r>
        <w:t>加大农业水利、田间道路等基础设施建设力度</w:t>
      </w:r>
      <w:r>
        <w:rPr>
          <w:rFonts w:hint="eastAsia"/>
          <w:lang w:eastAsia="zh-CN"/>
        </w:rPr>
        <w:t>；</w:t>
      </w:r>
      <w:r>
        <w:rPr>
          <w:rFonts w:ascii="仿宋_GB2312" w:hAnsi="宋体" w:eastAsia="仿宋_GB2312" w:cs="仿宋_GB2312"/>
          <w:color w:val="000000"/>
          <w:kern w:val="0"/>
          <w:sz w:val="30"/>
          <w:szCs w:val="30"/>
          <w:lang w:val="en-US" w:eastAsia="zh-CN" w:bidi="ar"/>
        </w:rPr>
        <w:t>在不破坏耕地耕作层且不造成耕地地类改变的</w:t>
      </w:r>
      <w:r>
        <w:rPr>
          <w:rFonts w:hint="eastAsia" w:ascii="仿宋_GB2312" w:hAnsi="宋体" w:eastAsia="仿宋_GB2312" w:cs="仿宋_GB2312"/>
          <w:color w:val="000000"/>
          <w:kern w:val="0"/>
          <w:sz w:val="30"/>
          <w:szCs w:val="30"/>
          <w:lang w:val="en-US" w:eastAsia="zh-CN" w:bidi="ar"/>
        </w:rPr>
        <w:t>前提下，</w:t>
      </w:r>
      <w:r>
        <w:rPr>
          <w:rFonts w:hint="eastAsia" w:ascii="仿宋_GB2312" w:hAnsi="宋体" w:cs="仿宋_GB2312"/>
          <w:color w:val="000000"/>
          <w:kern w:val="0"/>
          <w:sz w:val="30"/>
          <w:szCs w:val="30"/>
          <w:lang w:val="en-US" w:eastAsia="zh-CN" w:bidi="ar"/>
        </w:rPr>
        <w:t>加强与通天河景区、黄牛铺镇的联动，完善</w:t>
      </w:r>
      <w:r>
        <w:t>休闲农业配套设施</w:t>
      </w:r>
      <w:r>
        <w:rPr>
          <w:rFonts w:hint="eastAsia"/>
          <w:lang w:eastAsia="zh-CN"/>
        </w:rPr>
        <w:t>。</w:t>
      </w:r>
    </w:p>
    <w:p w14:paraId="12786984">
      <w:pPr>
        <w:pStyle w:val="5"/>
        <w:widowControl w:val="0"/>
        <w:numPr>
          <w:ilvl w:val="0"/>
          <w:numId w:val="7"/>
        </w:numPr>
        <w:tabs>
          <w:tab w:val="left" w:pos="420"/>
        </w:tabs>
        <w:spacing w:beforeAutospacing="1" w:line="240" w:lineRule="auto"/>
        <w:ind w:left="102" w:firstLine="602"/>
        <w:rPr>
          <w:rFonts w:hint="eastAsia" w:ascii="仿宋_GB2312" w:hAnsi="仿宋" w:cs="Times New Roman"/>
          <w:szCs w:val="30"/>
          <w:lang w:val="en-US" w:eastAsia="zh-CN"/>
        </w:rPr>
      </w:pPr>
      <w:r>
        <w:rPr>
          <w:rFonts w:hint="eastAsia" w:ascii="仿宋_GB2312" w:hAnsi="仿宋" w:cs="Times New Roman"/>
          <w:szCs w:val="30"/>
          <w:lang w:val="en-US" w:eastAsia="zh-CN"/>
        </w:rPr>
        <w:t>强化耕地占补平衡</w:t>
      </w:r>
    </w:p>
    <w:p w14:paraId="46AF2443">
      <w:pPr>
        <w:keepNext w:val="0"/>
        <w:keepLines w:val="0"/>
        <w:widowControl/>
        <w:suppressLineNumbers w:val="0"/>
        <w:jc w:val="left"/>
        <w:rPr>
          <w:rFonts w:hint="eastAsia" w:ascii="Times New Roman" w:hAnsi="Times New Roman" w:cs="Times New Roman"/>
          <w:b w:val="0"/>
          <w:bCs w:val="0"/>
          <w:szCs w:val="30"/>
          <w:highlight w:val="none"/>
          <w:lang w:val="en-US" w:eastAsia="zh-CN"/>
        </w:rPr>
      </w:pPr>
      <w:r>
        <w:rPr>
          <w:rFonts w:hint="eastAsia"/>
        </w:rPr>
        <w:t>按照政策要求扎实推进占补平衡和进出平衡工作，严查违法占用耕地行为</w:t>
      </w:r>
      <w:r>
        <w:rPr>
          <w:rFonts w:hint="eastAsia" w:ascii="Times New Roman" w:hAnsi="Times New Roman" w:cs="Times New Roman"/>
          <w:b w:val="0"/>
          <w:bCs w:val="0"/>
          <w:szCs w:val="30"/>
          <w:highlight w:val="none"/>
          <w:lang w:val="en-US" w:eastAsia="zh-CN"/>
        </w:rPr>
        <w:t>。坚决防止耕地占补平衡中补充耕地数量不到位、补充耕地质量不到位的问题，坚决防止占多补少、占优补劣、占水田补旱地的现象。拓展补充耕地途径，统筹实施土地整治</w:t>
      </w:r>
      <w:r>
        <w:rPr>
          <w:rFonts w:ascii="仿宋_GB2312" w:hAnsi="宋体" w:eastAsia="仿宋_GB2312" w:cs="仿宋_GB2312"/>
          <w:color w:val="000000"/>
          <w:kern w:val="0"/>
          <w:sz w:val="30"/>
          <w:szCs w:val="30"/>
          <w:lang w:val="en-US" w:eastAsia="zh-CN" w:bidi="ar"/>
        </w:rPr>
        <w:t>，</w:t>
      </w:r>
      <w:r>
        <w:rPr>
          <w:rFonts w:hint="eastAsia" w:ascii="仿宋_GB2312" w:hAnsi="宋体" w:cs="仿宋_GB2312"/>
          <w:color w:val="000000"/>
          <w:kern w:val="0"/>
          <w:sz w:val="30"/>
          <w:szCs w:val="30"/>
          <w:lang w:val="en-US" w:eastAsia="zh-CN" w:bidi="ar"/>
        </w:rPr>
        <w:t>推进农用地整理、</w:t>
      </w:r>
      <w:r>
        <w:rPr>
          <w:rFonts w:hint="eastAsia" w:ascii="仿宋_GB2312" w:hAnsi="宋体" w:eastAsia="仿宋_GB2312" w:cs="仿宋_GB2312"/>
          <w:color w:val="000000"/>
          <w:kern w:val="0"/>
          <w:sz w:val="30"/>
          <w:szCs w:val="30"/>
          <w:lang w:val="en-US" w:eastAsia="zh-CN" w:bidi="ar"/>
        </w:rPr>
        <w:t>宜耕后备土地资源开发</w:t>
      </w:r>
      <w:r>
        <w:rPr>
          <w:rFonts w:hint="eastAsia" w:ascii="仿宋_GB2312" w:hAnsi="宋体" w:cs="仿宋_GB2312"/>
          <w:color w:val="000000"/>
          <w:kern w:val="0"/>
          <w:sz w:val="30"/>
          <w:szCs w:val="30"/>
          <w:lang w:val="en-US" w:eastAsia="zh-CN" w:bidi="ar"/>
        </w:rPr>
        <w:t>、</w:t>
      </w:r>
      <w:r>
        <w:rPr>
          <w:rFonts w:hint="eastAsia" w:ascii="Times New Roman" w:hAnsi="Times New Roman" w:cs="Times New Roman"/>
          <w:b w:val="0"/>
          <w:bCs w:val="0"/>
          <w:szCs w:val="30"/>
          <w:highlight w:val="none"/>
          <w:lang w:val="en-US" w:eastAsia="zh-CN"/>
        </w:rPr>
        <w:t>历史遗留工矿废弃地复垦等。</w:t>
      </w:r>
    </w:p>
    <w:p w14:paraId="2BFB750B">
      <w:pPr>
        <w:pStyle w:val="5"/>
        <w:widowControl w:val="0"/>
        <w:numPr>
          <w:ilvl w:val="0"/>
          <w:numId w:val="7"/>
        </w:numPr>
        <w:tabs>
          <w:tab w:val="left" w:pos="420"/>
        </w:tabs>
        <w:spacing w:beforeAutospacing="1" w:line="240" w:lineRule="auto"/>
        <w:ind w:left="102" w:firstLine="602"/>
        <w:rPr>
          <w:rFonts w:hint="default" w:ascii="仿宋_GB2312" w:hAnsi="仿宋" w:cs="Times New Roman"/>
          <w:szCs w:val="30"/>
          <w:lang w:val="en-US" w:eastAsia="zh-CN"/>
        </w:rPr>
      </w:pPr>
      <w:r>
        <w:rPr>
          <w:rFonts w:ascii="仿宋_GB2312" w:hAnsi="宋体" w:eastAsia="仿宋_GB2312" w:cs="仿宋_GB2312"/>
          <w:b/>
          <w:bCs/>
          <w:color w:val="000000"/>
          <w:kern w:val="0"/>
          <w:sz w:val="30"/>
          <w:szCs w:val="30"/>
          <w:lang w:val="en-US" w:eastAsia="zh-CN" w:bidi="ar"/>
        </w:rPr>
        <w:t>推进高标准农田建设</w:t>
      </w:r>
    </w:p>
    <w:p w14:paraId="53B18885">
      <w:pPr>
        <w:keepNext w:val="0"/>
        <w:keepLines w:val="0"/>
        <w:widowControl/>
        <w:suppressLineNumbers w:val="0"/>
        <w:jc w:val="left"/>
        <w:rPr>
          <w:rFonts w:hint="eastAsia" w:ascii="仿宋_GB2312" w:hAnsi="宋体" w:eastAsia="仿宋_GB2312" w:cs="仿宋_GB2312"/>
          <w:color w:val="000000"/>
          <w:kern w:val="0"/>
          <w:sz w:val="30"/>
          <w:szCs w:val="30"/>
          <w:lang w:val="en-US" w:eastAsia="zh-CN" w:bidi="ar"/>
        </w:rPr>
      </w:pPr>
      <w:r>
        <w:rPr>
          <w:rFonts w:ascii="仿宋_GB2312" w:hAnsi="宋体" w:eastAsia="仿宋_GB2312" w:cs="仿宋_GB2312"/>
          <w:color w:val="000000"/>
          <w:kern w:val="0"/>
          <w:sz w:val="30"/>
          <w:szCs w:val="30"/>
          <w:lang w:val="en-US" w:eastAsia="zh-CN" w:bidi="ar"/>
        </w:rPr>
        <w:t>全面推进“藏粮于地、藏粮于技”战</w:t>
      </w:r>
      <w:r>
        <w:rPr>
          <w:rFonts w:hint="eastAsia" w:ascii="仿宋_GB2312" w:hAnsi="宋体" w:eastAsia="仿宋_GB2312" w:cs="仿宋_GB2312"/>
          <w:color w:val="000000"/>
          <w:kern w:val="0"/>
          <w:sz w:val="30"/>
          <w:szCs w:val="30"/>
          <w:lang w:val="en-US" w:eastAsia="zh-CN" w:bidi="ar"/>
        </w:rPr>
        <w:t>略实施，优先在永久基本农田上开展高标准农田建设，明确建设 任务和布局。重点在蔡家坡中部渭河平原开展土地平整、土壤改 良、灌溉排水设施、田间道路优化、农田防护与生态环境保持等 工作，建设集中连片、高产稳产的高标准农田。</w:t>
      </w:r>
    </w:p>
    <w:p w14:paraId="5EAE798C">
      <w:pPr>
        <w:keepNext w:val="0"/>
        <w:keepLines w:val="0"/>
        <w:widowControl/>
        <w:suppressLineNumbers w:val="0"/>
        <w:jc w:val="left"/>
        <w:outlineLvl w:val="2"/>
        <w:rPr>
          <w:rFonts w:ascii="仿宋_GB2312" w:hAnsi="宋体" w:eastAsia="仿宋_GB2312" w:cs="仿宋_GB2312"/>
          <w:b/>
          <w:bCs/>
          <w:color w:val="000000"/>
          <w:kern w:val="0"/>
          <w:sz w:val="30"/>
          <w:szCs w:val="30"/>
          <w:lang w:val="en-US" w:eastAsia="zh-CN" w:bidi="ar"/>
        </w:rPr>
      </w:pPr>
      <w:r>
        <w:rPr>
          <w:rFonts w:hint="eastAsia" w:ascii="仿宋_GB2312" w:hAnsi="宋体" w:cs="仿宋_GB2312"/>
          <w:b/>
          <w:bCs/>
          <w:color w:val="000000"/>
          <w:kern w:val="0"/>
          <w:sz w:val="30"/>
          <w:szCs w:val="30"/>
          <w:lang w:val="en-US" w:eastAsia="zh-CN" w:bidi="ar"/>
        </w:rPr>
        <w:t>五、</w:t>
      </w:r>
      <w:r>
        <w:rPr>
          <w:rFonts w:ascii="仿宋_GB2312" w:hAnsi="宋体" w:eastAsia="仿宋_GB2312" w:cs="仿宋_GB2312"/>
          <w:b/>
          <w:bCs/>
          <w:color w:val="000000"/>
          <w:kern w:val="0"/>
          <w:sz w:val="30"/>
          <w:szCs w:val="30"/>
          <w:lang w:val="en-US" w:eastAsia="zh-CN" w:bidi="ar"/>
        </w:rPr>
        <w:t>落实永久基本农田管控要求</w:t>
      </w:r>
    </w:p>
    <w:p w14:paraId="30537FFB">
      <w:pPr>
        <w:keepNext w:val="0"/>
        <w:keepLines w:val="0"/>
        <w:widowControl/>
        <w:suppressLineNumbers w:val="0"/>
        <w:jc w:val="left"/>
      </w:pPr>
      <w:r>
        <w:rPr>
          <w:rFonts w:hint="eastAsia" w:ascii="仿宋_GB2312" w:hAnsi="宋体" w:eastAsia="仿宋_GB2312" w:cs="仿宋_GB2312"/>
          <w:color w:val="000000"/>
          <w:kern w:val="0"/>
          <w:sz w:val="30"/>
          <w:szCs w:val="30"/>
          <w:lang w:val="en-US" w:eastAsia="zh-CN" w:bidi="ar"/>
        </w:rPr>
        <w:t>永久基本农田一经划定，任何地方和单位不得随意调整和占用。严禁违法占用永久基本农田，除国家能源、交通、水利和军事设施等重点建设项目以外，其他 非农业建设一律不得占用永久基本农田；符合法律规定确需占用 永久基本农田的非农建设项目，必须按法定程序报国务院批准农林用地转用和土地征收。永久基本农田上的农业结构调整应在种 植业范围进行，不得擅自改变永久基本农田用途。禁止在永久基 本农田上堆放固体废弃物、建设生活垃圾焚烧发电等污染类项目或者进行其他破坏永久基本农田的活动。</w:t>
      </w:r>
    </w:p>
    <w:p w14:paraId="25CEAFB1">
      <w:pPr>
        <w:pStyle w:val="4"/>
        <w:keepNext/>
        <w:keepLines/>
        <w:pageBreakBefore w:val="0"/>
        <w:widowControl/>
        <w:kinsoku/>
        <w:wordWrap/>
        <w:overflowPunct/>
        <w:topLinePunct w:val="0"/>
        <w:autoSpaceDE/>
        <w:autoSpaceDN/>
        <w:bidi w:val="0"/>
        <w:adjustRightInd/>
        <w:snapToGrid/>
        <w:spacing w:before="204" w:after="81"/>
        <w:ind w:firstLine="0" w:firstLineChars="0"/>
        <w:jc w:val="center"/>
        <w:textAlignment w:val="auto"/>
        <w:rPr>
          <w:rFonts w:hint="eastAsia" w:ascii="Times New Roman" w:hAnsi="Times New Roman" w:cs="Times New Roman"/>
          <w:highlight w:val="none"/>
          <w:lang w:val="en-US" w:eastAsia="zh-CN"/>
        </w:rPr>
      </w:pPr>
      <w:bookmarkStart w:id="52" w:name="_Toc10072"/>
      <w:bookmarkStart w:id="53" w:name="_Toc20226"/>
      <w:bookmarkStart w:id="54" w:name="_Toc1723"/>
      <w:r>
        <w:rPr>
          <w:rFonts w:ascii="Times New Roman" w:hAnsi="Times New Roman" w:cs="Times New Roman"/>
          <w:highlight w:val="none"/>
        </w:rPr>
        <w:t>第</w:t>
      </w:r>
      <w:r>
        <w:rPr>
          <w:rFonts w:hint="eastAsia" w:ascii="Times New Roman" w:hAnsi="Times New Roman" w:cs="Times New Roman"/>
          <w:highlight w:val="none"/>
          <w:lang w:val="en-US" w:eastAsia="zh-CN"/>
        </w:rPr>
        <w:t>二</w:t>
      </w:r>
      <w:r>
        <w:rPr>
          <w:rFonts w:ascii="Times New Roman" w:hAnsi="Times New Roman" w:cs="Times New Roman"/>
          <w:highlight w:val="none"/>
        </w:rPr>
        <w:t xml:space="preserve">节  </w:t>
      </w:r>
      <w:r>
        <w:rPr>
          <w:rFonts w:hint="eastAsia" w:ascii="Times New Roman" w:hAnsi="Times New Roman" w:cs="Times New Roman"/>
          <w:highlight w:val="none"/>
          <w:lang w:val="en-US" w:eastAsia="zh-CN"/>
        </w:rPr>
        <w:t>建设用地集约节约</w:t>
      </w:r>
      <w:r>
        <w:rPr>
          <w:rFonts w:ascii="Times New Roman" w:hAnsi="Times New Roman" w:cs="Times New Roman"/>
          <w:highlight w:val="none"/>
        </w:rPr>
        <w:t>利用</w:t>
      </w:r>
      <w:bookmarkEnd w:id="52"/>
      <w:bookmarkEnd w:id="53"/>
    </w:p>
    <w:p w14:paraId="16B6A7BF">
      <w:pPr>
        <w:pStyle w:val="5"/>
        <w:widowControl w:val="0"/>
        <w:numPr>
          <w:ilvl w:val="0"/>
          <w:numId w:val="8"/>
        </w:numPr>
        <w:tabs>
          <w:tab w:val="left" w:pos="420"/>
        </w:tabs>
        <w:spacing w:beforeAutospacing="1" w:line="240" w:lineRule="auto"/>
        <w:ind w:left="102" w:firstLine="602"/>
        <w:rPr>
          <w:rFonts w:hint="eastAsia" w:ascii="仿宋_GB2312" w:hAnsi="仿宋" w:cs="Times New Roman"/>
          <w:szCs w:val="30"/>
          <w:lang w:val="en-US" w:eastAsia="zh-CN"/>
        </w:rPr>
      </w:pPr>
      <w:r>
        <w:rPr>
          <w:rFonts w:hint="eastAsia" w:ascii="仿宋_GB2312" w:hAnsi="仿宋" w:cs="Times New Roman"/>
          <w:szCs w:val="30"/>
          <w:lang w:val="en-US" w:eastAsia="zh-CN"/>
        </w:rPr>
        <w:t>控制建设用地规模</w:t>
      </w:r>
    </w:p>
    <w:p w14:paraId="3EB1A7B2">
      <w:pPr>
        <w:ind w:firstLine="6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控制增量、锚定总量。以资源环境承载能力和国土空间开发适宜性为约束，设定全镇土地开发强度上限，严格控制新增建设用地规模。加强空间开发管制，严格控制城镇外延式扩张，促进建设用地集约利用。到2035年，全镇城乡建设用地总规模控制在89.84公顷，新增农村建设用地规模控制在8.51公顷。</w:t>
      </w:r>
    </w:p>
    <w:p w14:paraId="3FF993EB">
      <w:pPr>
        <w:pStyle w:val="5"/>
        <w:widowControl w:val="0"/>
        <w:numPr>
          <w:ilvl w:val="0"/>
          <w:numId w:val="8"/>
        </w:numPr>
        <w:tabs>
          <w:tab w:val="left" w:pos="420"/>
        </w:tabs>
        <w:spacing w:beforeAutospacing="1" w:line="240" w:lineRule="auto"/>
        <w:ind w:left="102" w:firstLine="602"/>
        <w:rPr>
          <w:rFonts w:hint="eastAsia" w:ascii="仿宋_GB2312" w:hAnsi="仿宋" w:cs="Times New Roman"/>
          <w:szCs w:val="30"/>
          <w:lang w:val="en-US" w:eastAsia="zh-CN"/>
        </w:rPr>
      </w:pPr>
      <w:r>
        <w:rPr>
          <w:rFonts w:hint="eastAsia" w:ascii="仿宋_GB2312" w:hAnsi="仿宋" w:cs="Times New Roman"/>
          <w:szCs w:val="30"/>
          <w:lang w:val="en-US" w:eastAsia="zh-CN"/>
        </w:rPr>
        <w:t>推进建设用地集约利用</w:t>
      </w:r>
    </w:p>
    <w:p w14:paraId="11BC6194">
      <w:pPr>
        <w:ind w:firstLine="600"/>
        <w:outlineLvl w:val="3"/>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（一）实行建设用地闲置与集中双促</w:t>
      </w:r>
    </w:p>
    <w:p w14:paraId="50D748BB">
      <w:pPr>
        <w:ind w:firstLine="6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坚持节约优先、合理利用、市场配置、改革创新的用地原则，对镇区利用粗放、闲置低效的城镇用地进行再开发。通过鼓励原土地使用权人实施改造开发，引进文旅项目进行整体改造等措施，重点推进老信用社、煤场和广场的改造，总规模0.41公顷。</w:t>
      </w:r>
    </w:p>
    <w:p w14:paraId="45E00C6A">
      <w:pPr>
        <w:ind w:firstLine="60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按照城乡统筹发展要求，合理引导乡村建设集中布局，通过中心村治理、农村居民点布局优化、集体建设用地流转等多种措施，促进农村建设用地集约节约利用。到2035年，对永生村、草凉驿村和草凉驿村实施农村建设用地整治，总面积5.61公顷。</w:t>
      </w:r>
    </w:p>
    <w:p w14:paraId="4A8AED28">
      <w:pPr>
        <w:pStyle w:val="76"/>
        <w:ind w:firstLine="600"/>
        <w:outlineLvl w:val="3"/>
        <w:rPr>
          <w:rFonts w:hint="default" w:ascii="Times New Roman" w:hAnsi="Times New Roman" w:eastAsia="仿宋_GB2312" w:cs="Times New Roman"/>
          <w:kern w:val="2"/>
          <w:sz w:val="30"/>
          <w:szCs w:val="22"/>
          <w:lang w:val="en-US" w:eastAsia="zh-CN" w:bidi="ar-SA"/>
        </w:rPr>
      </w:pPr>
      <w:r>
        <w:rPr>
          <w:rFonts w:hint="eastAsia" w:ascii="Times New Roman" w:hAnsi="Times New Roman" w:eastAsia="仿宋_GB2312" w:cs="Times New Roman"/>
          <w:kern w:val="2"/>
          <w:sz w:val="30"/>
          <w:szCs w:val="22"/>
          <w:lang w:val="en-US" w:eastAsia="zh-CN" w:bidi="ar-SA"/>
        </w:rPr>
        <w:t>（二）提高城镇建设用地集约化程度</w:t>
      </w:r>
    </w:p>
    <w:p w14:paraId="57817BCE">
      <w:pPr>
        <w:pStyle w:val="76"/>
        <w:ind w:firstLine="600"/>
        <w:rPr>
          <w:rFonts w:hint="default" w:ascii="Times New Roman" w:hAnsi="Times New Roman" w:eastAsia="仿宋_GB2312" w:cs="Times New Roman"/>
          <w:kern w:val="2"/>
          <w:sz w:val="30"/>
          <w:szCs w:val="22"/>
          <w:lang w:val="en-US" w:eastAsia="zh-CN" w:bidi="ar-SA"/>
        </w:rPr>
      </w:pPr>
      <w:r>
        <w:rPr>
          <w:rFonts w:hint="default" w:ascii="Times New Roman" w:hAnsi="Times New Roman" w:eastAsia="仿宋_GB2312" w:cs="Times New Roman"/>
          <w:kern w:val="2"/>
          <w:sz w:val="30"/>
          <w:szCs w:val="22"/>
          <w:lang w:val="en-US" w:eastAsia="zh-CN" w:bidi="ar-SA"/>
        </w:rPr>
        <w:t>积极盘活存量建设用地，着力释放存量建设用地空间，</w:t>
      </w:r>
      <w:r>
        <w:rPr>
          <w:rFonts w:hint="eastAsia" w:ascii="Times New Roman" w:hAnsi="Times New Roman" w:eastAsia="仿宋_GB2312" w:cs="Times New Roman"/>
          <w:kern w:val="2"/>
          <w:sz w:val="30"/>
          <w:szCs w:val="22"/>
          <w:lang w:val="en-US" w:eastAsia="zh-CN" w:bidi="ar-SA"/>
        </w:rPr>
        <w:t>严格落实“增存挂钩”机制；对布局散乱、利用粗放、用途不合理、闲置浪费等低效用地进行再开发。严格执行各行业建设项目用地标准，明确约束性要求，加强监督检查。落实建设项目节地评价制度，健全完善节约集约用地评价考核体系。推广节地模式和技术，完善用地取得、供地方式、土地价格等激励机制。</w:t>
      </w:r>
    </w:p>
    <w:p w14:paraId="36685FA4">
      <w:pPr>
        <w:pStyle w:val="76"/>
        <w:ind w:firstLine="600"/>
        <w:outlineLvl w:val="3"/>
        <w:rPr>
          <w:rFonts w:hint="default" w:ascii="Times New Roman" w:hAnsi="Times New Roman" w:eastAsia="仿宋_GB2312" w:cs="Times New Roman"/>
          <w:kern w:val="2"/>
          <w:sz w:val="30"/>
          <w:szCs w:val="22"/>
          <w:lang w:val="en-US" w:eastAsia="zh-CN" w:bidi="ar-SA"/>
        </w:rPr>
      </w:pPr>
      <w:r>
        <w:rPr>
          <w:rFonts w:hint="eastAsia" w:ascii="Times New Roman" w:hAnsi="Times New Roman" w:eastAsia="仿宋_GB2312" w:cs="Times New Roman"/>
          <w:kern w:val="2"/>
          <w:sz w:val="30"/>
          <w:szCs w:val="22"/>
          <w:lang w:val="en-US" w:eastAsia="zh-CN" w:bidi="ar-SA"/>
        </w:rPr>
        <w:t>（三）推进农村建设用地节约集约利用</w:t>
      </w:r>
    </w:p>
    <w:p w14:paraId="5D2C6C1E">
      <w:pPr>
        <w:pStyle w:val="76"/>
        <w:ind w:firstLine="600"/>
        <w:rPr>
          <w:rFonts w:hint="default" w:ascii="Times New Roman" w:hAnsi="Times New Roman" w:eastAsia="仿宋_GB2312" w:cs="Times New Roman"/>
          <w:kern w:val="2"/>
          <w:sz w:val="30"/>
          <w:szCs w:val="22"/>
          <w:lang w:val="en-US" w:eastAsia="zh-CN" w:bidi="ar-SA"/>
        </w:rPr>
      </w:pPr>
      <w:r>
        <w:rPr>
          <w:rFonts w:hint="eastAsia" w:ascii="Times New Roman" w:hAnsi="Times New Roman" w:eastAsia="仿宋_GB2312" w:cs="Times New Roman"/>
          <w:kern w:val="2"/>
          <w:sz w:val="30"/>
          <w:szCs w:val="22"/>
          <w:lang w:val="en-US" w:eastAsia="zh-CN" w:bidi="ar-SA"/>
        </w:rPr>
        <w:t>着力盘活农村存量低效建设用地。通过农村居民点布局优化、集体建设用地流转、废弃建设用地整理复垦等多种措施，积极实施城乡建设用地增减挂钩、土地整治项目，推进田、水、路、林、村综合整治，促进农村低效和空闲土地盘活利用，建立并逐步完善农村宅基地退出机制，作为新增城镇建设用地流量指标的主要来源，促进农村建设用地节约集约利用。</w:t>
      </w:r>
    </w:p>
    <w:p w14:paraId="2410975D">
      <w:pPr>
        <w:pStyle w:val="2"/>
        <w:rPr>
          <w:rFonts w:hint="default"/>
          <w:lang w:val="en-US" w:eastAsia="zh-CN"/>
        </w:rPr>
      </w:pPr>
    </w:p>
    <w:p w14:paraId="6512EA7E">
      <w:pPr>
        <w:pStyle w:val="4"/>
        <w:keepNext/>
        <w:keepLines/>
        <w:pageBreakBefore w:val="0"/>
        <w:widowControl/>
        <w:kinsoku/>
        <w:wordWrap/>
        <w:overflowPunct/>
        <w:topLinePunct w:val="0"/>
        <w:autoSpaceDE/>
        <w:autoSpaceDN/>
        <w:bidi w:val="0"/>
        <w:adjustRightInd/>
        <w:snapToGrid/>
        <w:spacing w:before="204" w:after="81"/>
        <w:ind w:firstLine="0" w:firstLineChars="0"/>
        <w:jc w:val="center"/>
        <w:textAlignment w:val="auto"/>
        <w:rPr>
          <w:rFonts w:ascii="Times New Roman" w:hAnsi="Times New Roman" w:cs="Times New Roman"/>
          <w:highlight w:val="none"/>
        </w:rPr>
      </w:pPr>
      <w:bookmarkStart w:id="55" w:name="_Toc3845"/>
      <w:bookmarkStart w:id="56" w:name="_Toc27884"/>
      <w:r>
        <w:rPr>
          <w:rFonts w:ascii="Times New Roman" w:hAnsi="Times New Roman" w:cs="Times New Roman"/>
          <w:highlight w:val="none"/>
        </w:rPr>
        <w:t>第</w:t>
      </w:r>
      <w:r>
        <w:rPr>
          <w:rFonts w:hint="eastAsia" w:ascii="Times New Roman" w:hAnsi="Times New Roman" w:cs="Times New Roman"/>
          <w:highlight w:val="none"/>
          <w:lang w:eastAsia="zh-CN"/>
        </w:rPr>
        <w:t>三</w:t>
      </w:r>
      <w:r>
        <w:rPr>
          <w:rFonts w:ascii="Times New Roman" w:hAnsi="Times New Roman" w:cs="Times New Roman"/>
          <w:highlight w:val="none"/>
        </w:rPr>
        <w:t xml:space="preserve">节  </w:t>
      </w:r>
      <w:r>
        <w:rPr>
          <w:rFonts w:hint="eastAsia" w:ascii="Times New Roman" w:hAnsi="Times New Roman" w:cs="Times New Roman"/>
          <w:highlight w:val="none"/>
          <w:lang w:val="en-US" w:eastAsia="zh-CN"/>
        </w:rPr>
        <w:t>水资源</w:t>
      </w:r>
      <w:r>
        <w:rPr>
          <w:rFonts w:ascii="Times New Roman" w:hAnsi="Times New Roman" w:cs="Times New Roman"/>
          <w:highlight w:val="none"/>
        </w:rPr>
        <w:t>保护利用</w:t>
      </w:r>
      <w:bookmarkEnd w:id="55"/>
      <w:bookmarkEnd w:id="56"/>
    </w:p>
    <w:p w14:paraId="311C4136">
      <w:pPr>
        <w:pStyle w:val="5"/>
        <w:widowControl w:val="0"/>
        <w:numPr>
          <w:ilvl w:val="0"/>
          <w:numId w:val="9"/>
        </w:numPr>
        <w:tabs>
          <w:tab w:val="left" w:pos="420"/>
        </w:tabs>
        <w:spacing w:beforeAutospacing="1" w:line="240" w:lineRule="auto"/>
        <w:ind w:left="102" w:firstLine="602"/>
        <w:rPr>
          <w:rFonts w:hint="eastAsia" w:ascii="仿宋_GB2312" w:hAnsi="仿宋" w:cs="Times New Roman"/>
          <w:szCs w:val="30"/>
          <w:lang w:val="en-US" w:eastAsia="zh-CN"/>
        </w:rPr>
      </w:pPr>
      <w:bookmarkStart w:id="57" w:name="_Toc11999"/>
      <w:r>
        <w:rPr>
          <w:rFonts w:hint="eastAsia" w:ascii="仿宋_GB2312" w:hAnsi="仿宋" w:cs="Times New Roman"/>
          <w:szCs w:val="30"/>
          <w:lang w:val="en-US" w:eastAsia="zh-CN"/>
        </w:rPr>
        <w:t>优化用水结构，提高水资源利用效率</w:t>
      </w:r>
    </w:p>
    <w:p w14:paraId="55B71D9F">
      <w:pPr>
        <w:ind w:firstLine="602"/>
        <w:rPr>
          <w:rFonts w:hint="default"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开展节水型社会建设，加强农业、工业、城镇生活用水效率提升。</w:t>
      </w:r>
      <w:r>
        <w:rPr>
          <w:rFonts w:hint="default" w:ascii="Times New Roman" w:hAnsi="Times New Roman" w:cs="Times New Roman"/>
        </w:rPr>
        <w:t>农业方面，</w:t>
      </w:r>
      <w:r>
        <w:rPr>
          <w:rFonts w:hint="eastAsia"/>
        </w:rPr>
        <w:t>推广先进的灌溉技术，发展节水灌溉农业，减少水量损耗，提高灌溉水的利用率</w:t>
      </w:r>
      <w:r>
        <w:rPr>
          <w:rFonts w:hint="eastAsia" w:eastAsia="仿宋_GB2312" w:cs="Times New Roman"/>
          <w:kern w:val="2"/>
          <w:sz w:val="30"/>
          <w:szCs w:val="30"/>
          <w:highlight w:val="none"/>
          <w:lang w:val="en-US" w:eastAsia="zh-CN" w:bidi="ar-SA"/>
        </w:rPr>
        <w:t>。工业及生活用水方面，加快供水管网改造，降低供水管网漏损。</w:t>
      </w:r>
    </w:p>
    <w:p w14:paraId="104DAC7E">
      <w:pPr>
        <w:pStyle w:val="5"/>
        <w:widowControl w:val="0"/>
        <w:numPr>
          <w:ilvl w:val="0"/>
          <w:numId w:val="9"/>
        </w:numPr>
        <w:tabs>
          <w:tab w:val="left" w:pos="420"/>
        </w:tabs>
        <w:spacing w:beforeAutospacing="1" w:line="240" w:lineRule="auto"/>
        <w:ind w:left="102" w:firstLine="602"/>
        <w:rPr>
          <w:rFonts w:hint="eastAsia" w:ascii="仿宋_GB2312" w:hAnsi="仿宋" w:cs="Times New Roman"/>
          <w:szCs w:val="30"/>
          <w:lang w:val="en-US" w:eastAsia="zh-CN"/>
        </w:rPr>
      </w:pPr>
      <w:r>
        <w:rPr>
          <w:rFonts w:hint="eastAsia" w:ascii="仿宋_GB2312" w:hAnsi="仿宋" w:cs="Times New Roman"/>
          <w:szCs w:val="30"/>
          <w:lang w:val="en-US" w:eastAsia="zh-CN"/>
        </w:rPr>
        <w:t>加强水资源保护，构建水生态安全体系</w:t>
      </w:r>
    </w:p>
    <w:p w14:paraId="073DEC31">
      <w:pPr>
        <w:ind w:firstLine="602"/>
        <w:rPr>
          <w:rFonts w:hint="eastAsia" w:cs="Times New Roman"/>
          <w:kern w:val="2"/>
          <w:sz w:val="30"/>
          <w:szCs w:val="30"/>
          <w:highlight w:val="none"/>
          <w:lang w:val="en-US" w:eastAsia="zh-CN" w:bidi="ar-SA"/>
        </w:rPr>
      </w:pPr>
      <w:r>
        <w:rPr>
          <w:rFonts w:hint="eastAsia" w:cs="Times New Roman"/>
          <w:kern w:val="2"/>
          <w:sz w:val="30"/>
          <w:szCs w:val="30"/>
          <w:highlight w:val="none"/>
          <w:lang w:val="en-US" w:eastAsia="zh-CN" w:bidi="ar-SA"/>
        </w:rPr>
        <w:t>加强对嘉陵江红花铺镇段的保护治理，</w:t>
      </w:r>
      <w:r>
        <w:t>加强水源涵养封育保护，对采矿和修路等人为活动扰动破坏河道地貌进行修复治理，</w:t>
      </w:r>
      <w:r>
        <w:rPr>
          <w:rFonts w:hint="eastAsia"/>
          <w:lang w:val="en-US" w:eastAsia="zh-CN"/>
        </w:rPr>
        <w:t>落实上位规划的嘉陵江防洪和</w:t>
      </w:r>
      <w:r>
        <w:rPr>
          <w:rFonts w:hint="eastAsia"/>
        </w:rPr>
        <w:t>生态综合治理项目</w:t>
      </w:r>
      <w:r>
        <w:rPr>
          <w:rFonts w:hint="eastAsia" w:cs="Times New Roman"/>
          <w:kern w:val="2"/>
          <w:sz w:val="30"/>
          <w:szCs w:val="30"/>
          <w:highlight w:val="none"/>
          <w:lang w:val="en-US" w:eastAsia="zh-CN" w:bidi="ar-SA"/>
        </w:rPr>
        <w:t>。</w:t>
      </w:r>
    </w:p>
    <w:p w14:paraId="6F372620">
      <w:pPr>
        <w:ind w:firstLine="602"/>
        <w:rPr>
          <w:rFonts w:hint="eastAsia" w:eastAsia="仿宋_GB2312" w:cs="Times New Roman"/>
          <w:kern w:val="2"/>
          <w:sz w:val="30"/>
          <w:szCs w:val="30"/>
          <w:highlight w:val="none"/>
          <w:lang w:val="en-US" w:eastAsia="zh-CN" w:bidi="ar-SA"/>
        </w:rPr>
      </w:pPr>
      <w:r>
        <w:rPr>
          <w:rFonts w:hint="eastAsia" w:cs="Times New Roman"/>
          <w:kern w:val="2"/>
          <w:sz w:val="30"/>
          <w:szCs w:val="30"/>
          <w:highlight w:val="none"/>
          <w:lang w:val="en-US" w:eastAsia="zh-CN" w:bidi="ar-SA"/>
        </w:rPr>
        <w:t>坚持生态优先的水资源保护理念，加强污水集中处理，严格控制工业面、农业面源污染；在保证生态用水的前提下合理开发水资源，</w:t>
      </w:r>
      <w:r>
        <w:t>确保水域面积只增不减</w:t>
      </w:r>
      <w:r>
        <w:rPr>
          <w:rFonts w:hint="eastAsia"/>
          <w:lang w:eastAsia="zh-CN"/>
        </w:rPr>
        <w:t>。</w:t>
      </w:r>
    </w:p>
    <w:p w14:paraId="61E31A2A">
      <w:pPr>
        <w:pStyle w:val="4"/>
        <w:keepNext/>
        <w:keepLines/>
        <w:pageBreakBefore w:val="0"/>
        <w:widowControl/>
        <w:kinsoku/>
        <w:wordWrap/>
        <w:overflowPunct/>
        <w:topLinePunct w:val="0"/>
        <w:autoSpaceDE/>
        <w:autoSpaceDN/>
        <w:bidi w:val="0"/>
        <w:adjustRightInd/>
        <w:snapToGrid/>
        <w:spacing w:before="204" w:after="81"/>
        <w:ind w:firstLine="0" w:firstLineChars="0"/>
        <w:jc w:val="center"/>
        <w:textAlignment w:val="auto"/>
        <w:rPr>
          <w:rFonts w:ascii="Times New Roman" w:hAnsi="Times New Roman" w:cs="Times New Roman"/>
          <w:highlight w:val="none"/>
        </w:rPr>
      </w:pPr>
      <w:bookmarkStart w:id="58" w:name="_Toc19327"/>
      <w:bookmarkStart w:id="59" w:name="_Toc14755"/>
      <w:r>
        <w:rPr>
          <w:rFonts w:ascii="Times New Roman" w:hAnsi="Times New Roman" w:cs="Times New Roman"/>
          <w:highlight w:val="none"/>
        </w:rPr>
        <w:t>第</w:t>
      </w:r>
      <w:r>
        <w:rPr>
          <w:rFonts w:hint="eastAsia" w:ascii="Times New Roman" w:hAnsi="Times New Roman" w:cs="Times New Roman"/>
          <w:highlight w:val="none"/>
          <w:lang w:eastAsia="zh-CN"/>
        </w:rPr>
        <w:t>四</w:t>
      </w:r>
      <w:r>
        <w:rPr>
          <w:rFonts w:ascii="Times New Roman" w:hAnsi="Times New Roman" w:cs="Times New Roman"/>
          <w:highlight w:val="none"/>
        </w:rPr>
        <w:t xml:space="preserve">节  </w:t>
      </w:r>
      <w:r>
        <w:rPr>
          <w:rFonts w:hint="eastAsia" w:ascii="Times New Roman" w:hAnsi="Times New Roman" w:cs="Times New Roman"/>
          <w:highlight w:val="none"/>
          <w:lang w:val="en-US" w:eastAsia="zh-CN"/>
        </w:rPr>
        <w:t>林地与湿地</w:t>
      </w:r>
      <w:r>
        <w:rPr>
          <w:rFonts w:ascii="Times New Roman" w:hAnsi="Times New Roman" w:cs="Times New Roman"/>
          <w:highlight w:val="none"/>
        </w:rPr>
        <w:t>保护利用</w:t>
      </w:r>
      <w:bookmarkEnd w:id="57"/>
      <w:bookmarkEnd w:id="58"/>
      <w:bookmarkEnd w:id="59"/>
    </w:p>
    <w:p w14:paraId="1DCA88C1">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szCs w:val="30"/>
          <w:lang w:val="en-US" w:eastAsia="zh-CN"/>
        </w:rPr>
      </w:pPr>
      <w:r>
        <w:rPr>
          <w:rFonts w:hint="eastAsia" w:ascii="仿宋_GB2312" w:hAnsi="仿宋" w:eastAsia="仿宋_GB2312" w:cs="Times New Roman"/>
          <w:b/>
          <w:bCs/>
          <w:kern w:val="2"/>
          <w:sz w:val="30"/>
          <w:szCs w:val="30"/>
          <w:lang w:val="en-US" w:eastAsia="zh-CN" w:bidi="ar-SA"/>
        </w:rPr>
        <w:t>一、</w:t>
      </w:r>
      <w:r>
        <w:rPr>
          <w:rFonts w:hint="eastAsia" w:ascii="仿宋_GB2312" w:hAnsi="仿宋" w:cs="Times New Roman"/>
          <w:szCs w:val="30"/>
          <w:lang w:val="en-US" w:eastAsia="zh-CN"/>
        </w:rPr>
        <w:t>严格落实林地资源保护</w:t>
      </w:r>
    </w:p>
    <w:p w14:paraId="61BA3BEB">
      <w:pPr>
        <w:ind w:firstLine="602"/>
        <w:rPr>
          <w:rFonts w:hint="eastAsia" w:ascii="Times New Roman" w:hAnsi="Times New Roman" w:cs="Times New Roman"/>
          <w:szCs w:val="30"/>
          <w:highlight w:val="none"/>
          <w:lang w:val="en-US" w:eastAsia="zh-CN"/>
        </w:rPr>
      </w:pPr>
      <w:r>
        <w:rPr>
          <w:rFonts w:hint="eastAsia"/>
          <w:lang w:val="en-US" w:eastAsia="zh-CN"/>
        </w:rPr>
        <w:t>保持林地总量，积极造林绿化</w:t>
      </w:r>
      <w:r>
        <w:rPr>
          <w:rFonts w:hint="eastAsia" w:cs="Times New Roman"/>
          <w:kern w:val="2"/>
          <w:sz w:val="30"/>
          <w:szCs w:val="30"/>
          <w:highlight w:val="none"/>
          <w:lang w:val="en-US" w:eastAsia="zh-CN" w:bidi="ar-SA"/>
        </w:rPr>
        <w:t>，保护生态公益林，改善林分，严控林地资源转化为其他农用地和建设用地，严格控制森林采伐量，</w:t>
      </w:r>
      <w:r>
        <w:t>严格控制征占用林地</w:t>
      </w:r>
      <w:r>
        <w:rPr>
          <w:rFonts w:hint="eastAsia"/>
          <w:lang w:val="en-US" w:eastAsia="zh-CN"/>
        </w:rPr>
        <w:t>。</w:t>
      </w:r>
      <w:r>
        <w:rPr>
          <w:rFonts w:hint="eastAsia" w:ascii="Times New Roman" w:hAnsi="Times New Roman" w:cs="Times New Roman"/>
          <w:szCs w:val="30"/>
          <w:highlight w:val="none"/>
          <w:lang w:val="en-US" w:eastAsia="zh-CN"/>
        </w:rPr>
        <w:t>到2035年，</w:t>
      </w:r>
      <w:r>
        <w:rPr>
          <w:rFonts w:hint="default" w:ascii="Times New Roman" w:hAnsi="Times New Roman" w:cs="Times New Roman"/>
        </w:rPr>
        <w:t>造林绿化</w:t>
      </w:r>
      <w:r>
        <w:rPr>
          <w:rFonts w:hint="eastAsia" w:ascii="Times New Roman" w:hAnsi="Times New Roman" w:cs="Times New Roman"/>
          <w:lang w:eastAsia="zh-CN"/>
        </w:rPr>
        <w:t>总规模</w:t>
      </w:r>
      <w:r>
        <w:rPr>
          <w:rFonts w:hint="eastAsia" w:ascii="Times New Roman" w:hAnsi="Times New Roman" w:cs="Times New Roman"/>
          <w:lang w:val="en-US" w:eastAsia="zh-CN"/>
        </w:rPr>
        <w:t>46.18公顷</w:t>
      </w:r>
      <w:r>
        <w:rPr>
          <w:rFonts w:hint="default" w:ascii="Times New Roman" w:hAnsi="Times New Roman" w:cs="Times New Roman"/>
        </w:rPr>
        <w:t>，</w:t>
      </w:r>
      <w:r>
        <w:rPr>
          <w:rFonts w:hint="eastAsia" w:ascii="Times New Roman" w:hAnsi="Times New Roman" w:cs="Times New Roman"/>
          <w:szCs w:val="30"/>
          <w:highlight w:val="none"/>
          <w:lang w:val="en-US" w:eastAsia="zh-CN"/>
        </w:rPr>
        <w:t>全域森林覆盖率不低于83%。</w:t>
      </w:r>
    </w:p>
    <w:p w14:paraId="70352F8F">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szCs w:val="30"/>
          <w:lang w:val="en-US" w:eastAsia="zh-CN"/>
        </w:rPr>
      </w:pPr>
      <w:r>
        <w:rPr>
          <w:rFonts w:hint="eastAsia" w:ascii="仿宋_GB2312" w:hAnsi="仿宋" w:eastAsia="仿宋_GB2312" w:cs="Times New Roman"/>
          <w:b/>
          <w:bCs/>
          <w:kern w:val="2"/>
          <w:sz w:val="30"/>
          <w:szCs w:val="30"/>
          <w:lang w:val="en-US" w:eastAsia="zh-CN" w:bidi="ar-SA"/>
        </w:rPr>
        <w:t>二、</w:t>
      </w:r>
      <w:r>
        <w:rPr>
          <w:rFonts w:hint="eastAsia" w:ascii="仿宋_GB2312" w:hAnsi="仿宋" w:cs="Times New Roman"/>
          <w:szCs w:val="30"/>
          <w:lang w:val="en-US" w:eastAsia="zh-CN"/>
        </w:rPr>
        <w:t>合理利用林地资源</w:t>
      </w:r>
    </w:p>
    <w:p w14:paraId="39A68D92">
      <w:pPr>
        <w:ind w:firstLine="602"/>
        <w:rPr>
          <w:rFonts w:hint="default" w:ascii="Times New Roman" w:hAnsi="Times New Roman" w:eastAsia="仿宋_GB2312" w:cs="Times New Roman"/>
          <w:szCs w:val="30"/>
          <w:highlight w:val="none"/>
          <w:lang w:val="en-US" w:eastAsia="zh-CN"/>
        </w:rPr>
      </w:pPr>
      <w:r>
        <w:rPr>
          <w:rFonts w:hint="eastAsia" w:ascii="Times New Roman" w:hAnsi="Times New Roman" w:cs="Times New Roman"/>
          <w:szCs w:val="30"/>
          <w:highlight w:val="none"/>
          <w:lang w:val="en-US" w:eastAsia="zh-CN"/>
        </w:rPr>
        <w:t>根据红花铺镇产业发展需求，在保护优先的基础上，发展林业产业和林产品供给，巩固花椒、核桃、中药材等发展成果，</w:t>
      </w:r>
      <w:r>
        <w:t>发展林下种植养殖业和森林旅游业</w:t>
      </w:r>
      <w:r>
        <w:rPr>
          <w:rFonts w:hint="eastAsia"/>
          <w:lang w:eastAsia="zh-CN"/>
        </w:rPr>
        <w:t>，</w:t>
      </w:r>
      <w:r>
        <w:rPr>
          <w:rFonts w:hint="eastAsia"/>
          <w:lang w:val="en-US" w:eastAsia="zh-CN"/>
        </w:rPr>
        <w:t>构建生态稳定的林地利用体系。</w:t>
      </w:r>
    </w:p>
    <w:p w14:paraId="60585696">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szCs w:val="30"/>
          <w:lang w:val="en-US" w:eastAsia="zh-CN"/>
        </w:rPr>
      </w:pPr>
      <w:r>
        <w:rPr>
          <w:rFonts w:hint="eastAsia" w:ascii="仿宋_GB2312" w:hAnsi="仿宋" w:eastAsia="仿宋_GB2312" w:cs="Times New Roman"/>
          <w:b/>
          <w:bCs/>
          <w:kern w:val="2"/>
          <w:sz w:val="30"/>
          <w:szCs w:val="30"/>
          <w:lang w:val="en-US" w:eastAsia="zh-CN" w:bidi="ar-SA"/>
        </w:rPr>
        <w:t>三、</w:t>
      </w:r>
      <w:r>
        <w:rPr>
          <w:rFonts w:hint="eastAsia" w:ascii="仿宋_GB2312" w:hAnsi="仿宋" w:cs="Times New Roman"/>
          <w:szCs w:val="30"/>
          <w:lang w:val="en-US" w:eastAsia="zh-CN"/>
        </w:rPr>
        <w:t>严格落实湿地资源保护</w:t>
      </w:r>
    </w:p>
    <w:p w14:paraId="06CFDD6A">
      <w:pPr>
        <w:ind w:firstLine="600"/>
        <w:jc w:val="both"/>
        <w:rPr>
          <w:rFonts w:hint="default"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重点修复嘉陵江红花铺段湿地生态功能，严格控制建设活动对湿地的占用和破坏，改善湿地区域生态系统稳定和生物多样性。</w:t>
      </w:r>
      <w:r>
        <w:t>规划期间</w:t>
      </w:r>
      <w:r>
        <w:rPr>
          <w:rFonts w:hint="eastAsia"/>
          <w:lang w:val="en-US" w:eastAsia="zh-CN"/>
        </w:rPr>
        <w:t>镇域河流</w:t>
      </w:r>
      <w:r>
        <w:t>水质保</w:t>
      </w:r>
      <w:r>
        <w:rPr>
          <w:rFonts w:hint="eastAsia" w:ascii="Times New Roman" w:hAnsi="Times New Roman" w:cs="Times New Roman"/>
          <w:szCs w:val="30"/>
          <w:highlight w:val="none"/>
          <w:lang w:val="en-US" w:eastAsia="zh-CN"/>
        </w:rPr>
        <w:t>持Ⅱ类水质，达标率达到100%，各类湿地面积不减少。</w:t>
      </w:r>
    </w:p>
    <w:p w14:paraId="7D1F6494">
      <w:pPr>
        <w:pStyle w:val="4"/>
        <w:keepNext/>
        <w:keepLines/>
        <w:pageBreakBefore w:val="0"/>
        <w:widowControl/>
        <w:kinsoku/>
        <w:wordWrap/>
        <w:overflowPunct/>
        <w:topLinePunct w:val="0"/>
        <w:autoSpaceDE/>
        <w:autoSpaceDN/>
        <w:bidi w:val="0"/>
        <w:adjustRightInd/>
        <w:snapToGrid/>
        <w:spacing w:before="204" w:after="81"/>
        <w:ind w:firstLine="0" w:firstLineChars="0"/>
        <w:jc w:val="center"/>
        <w:textAlignment w:val="auto"/>
        <w:rPr>
          <w:rFonts w:ascii="Times New Roman" w:hAnsi="Times New Roman" w:cs="Times New Roman"/>
          <w:highlight w:val="none"/>
        </w:rPr>
      </w:pPr>
      <w:bookmarkStart w:id="60" w:name="_Toc31033"/>
      <w:bookmarkStart w:id="61" w:name="_Toc11460"/>
      <w:bookmarkStart w:id="62" w:name="_Toc25542"/>
      <w:r>
        <w:rPr>
          <w:rFonts w:ascii="Times New Roman" w:hAnsi="Times New Roman" w:cs="Times New Roman"/>
          <w:highlight w:val="none"/>
        </w:rPr>
        <w:t>第</w:t>
      </w:r>
      <w:r>
        <w:rPr>
          <w:rFonts w:hint="eastAsia" w:ascii="Times New Roman" w:hAnsi="Times New Roman" w:cs="Times New Roman"/>
          <w:highlight w:val="none"/>
          <w:lang w:eastAsia="zh-CN"/>
        </w:rPr>
        <w:t>五</w:t>
      </w:r>
      <w:r>
        <w:rPr>
          <w:rFonts w:ascii="Times New Roman" w:hAnsi="Times New Roman" w:cs="Times New Roman"/>
          <w:highlight w:val="none"/>
        </w:rPr>
        <w:t>节  矿产资源保护与利用</w:t>
      </w:r>
      <w:bookmarkEnd w:id="60"/>
      <w:bookmarkEnd w:id="61"/>
      <w:bookmarkEnd w:id="62"/>
    </w:p>
    <w:p w14:paraId="4606031D">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szCs w:val="30"/>
          <w:lang w:val="en-US" w:eastAsia="zh-CN"/>
        </w:rPr>
      </w:pPr>
      <w:r>
        <w:rPr>
          <w:rFonts w:hint="eastAsia" w:ascii="仿宋_GB2312" w:hAnsi="仿宋" w:eastAsia="仿宋_GB2312" w:cs="Times New Roman"/>
          <w:b/>
          <w:bCs/>
          <w:kern w:val="2"/>
          <w:sz w:val="30"/>
          <w:szCs w:val="30"/>
          <w:lang w:val="en-US" w:eastAsia="zh-CN" w:bidi="ar-SA"/>
        </w:rPr>
        <w:t>一、</w:t>
      </w:r>
      <w:r>
        <w:rPr>
          <w:rFonts w:hint="eastAsia" w:ascii="仿宋_GB2312" w:hAnsi="仿宋" w:cs="Times New Roman"/>
          <w:szCs w:val="30"/>
          <w:lang w:val="en-US" w:eastAsia="zh-CN"/>
        </w:rPr>
        <w:t>优化矿产资源开采勘察</w:t>
      </w:r>
    </w:p>
    <w:p w14:paraId="3C729FC3">
      <w:pPr>
        <w:ind w:firstLine="600"/>
        <w:jc w:val="both"/>
        <w:rPr>
          <w:rFonts w:hint="eastAsia"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红花铺镇的矿产资源分布广泛，合理确定钾长石矿和磷矿开采规模，提高矿产资源节约集约利用水平，加强对草凉驿龙王沟、红花铺银洞沟已有矿产资源的深部勘察，加大对金、铅、锌、铜等多金属矿产后备资源的勘查力度。同时推进红花铺镇钾长石、铅锌矿等矿产加工产业的兴起‌。</w:t>
      </w:r>
    </w:p>
    <w:p w14:paraId="4EECE95D">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szCs w:val="30"/>
          <w:lang w:val="en-US" w:eastAsia="zh-CN"/>
        </w:rPr>
      </w:pPr>
      <w:r>
        <w:rPr>
          <w:rFonts w:hint="eastAsia" w:ascii="仿宋_GB2312" w:hAnsi="仿宋" w:eastAsia="仿宋_GB2312" w:cs="Times New Roman"/>
          <w:b/>
          <w:bCs/>
          <w:kern w:val="2"/>
          <w:sz w:val="30"/>
          <w:szCs w:val="30"/>
          <w:lang w:val="en-US" w:eastAsia="zh-CN" w:bidi="ar-SA"/>
        </w:rPr>
        <w:t>二、</w:t>
      </w:r>
      <w:r>
        <w:rPr>
          <w:rFonts w:hint="eastAsia" w:ascii="仿宋_GB2312" w:hAnsi="仿宋" w:cs="Times New Roman"/>
          <w:szCs w:val="30"/>
          <w:lang w:val="en-US" w:eastAsia="zh-CN"/>
        </w:rPr>
        <w:t>推进绿色矿山转型，加强矿区生态保护</w:t>
      </w:r>
    </w:p>
    <w:p w14:paraId="6892C86A">
      <w:pPr>
        <w:ind w:firstLine="600"/>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坚持生态保护优先，绿色勘查、绿色开采的原则，促进矿产资源综合利用水平提高；推进已有矿山地质环境保护与土地复垦，推进矿区生态保护与修复，到2035年，红花铺镇主要矿山“三率”水平达标率100%，同时开展历史遗留矿山矿区生态修复。</w:t>
      </w:r>
      <w:bookmarkEnd w:id="54"/>
    </w:p>
    <w:p w14:paraId="408B18E3">
      <w:pPr>
        <w:numPr>
          <w:ilvl w:val="0"/>
          <w:numId w:val="9"/>
        </w:numPr>
        <w:ind w:left="102" w:leftChars="0" w:firstLine="602" w:firstLineChars="200"/>
        <w:outlineLvl w:val="2"/>
        <w:rPr>
          <w:rFonts w:hint="eastAsia" w:ascii="仿宋_GB2312" w:hAnsi="仿宋" w:cs="Times New Roman"/>
          <w:b/>
          <w:bCs/>
          <w:kern w:val="2"/>
          <w:sz w:val="30"/>
          <w:szCs w:val="30"/>
          <w:lang w:val="en-US" w:eastAsia="zh-CN" w:bidi="ar-SA"/>
        </w:rPr>
      </w:pPr>
      <w:r>
        <w:rPr>
          <w:rFonts w:hint="eastAsia" w:ascii="仿宋_GB2312" w:hAnsi="仿宋" w:cs="Times New Roman"/>
          <w:b/>
          <w:bCs/>
          <w:kern w:val="2"/>
          <w:sz w:val="30"/>
          <w:szCs w:val="30"/>
          <w:lang w:val="en-US" w:eastAsia="zh-CN" w:bidi="ar-SA"/>
        </w:rPr>
        <w:t>遵循原则</w:t>
      </w:r>
    </w:p>
    <w:p w14:paraId="478F2B8B">
      <w:pPr>
        <w:ind w:firstLine="600"/>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生态优先原则。在红花铺镇的矿产资源开发利用过程中，始终将生态保护放在首位，无论是确定开采规模还是进行勘查活动，都要充分考虑对生态环境的影响，避免以牺牲生态环境为代价换取短期的经济利益。</w:t>
      </w:r>
    </w:p>
    <w:p w14:paraId="48FBFEC4">
      <w:pPr>
        <w:ind w:firstLine="600"/>
        <w:rPr>
          <w:rFonts w:hint="eastAsia"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绿色发展原则。坚持绿色勘查、绿色开采，推广应用先进的开采技术和工艺，减少矿产资源开发过程中的废弃物排放和生态破坏。</w:t>
      </w:r>
    </w:p>
    <w:p w14:paraId="322908B1">
      <w:pPr>
        <w:ind w:firstLine="600"/>
        <w:rPr>
          <w:rFonts w:hint="eastAsia" w:ascii="Times New Roman" w:hAnsi="Times New Roman" w:cs="Times New Roman"/>
          <w:b w:val="0"/>
          <w:bCs w:val="0"/>
          <w:highlight w:val="none"/>
          <w:lang w:val="en-US" w:eastAsia="zh-CN"/>
        </w:rPr>
        <w:sectPr>
          <w:headerReference r:id="rId20" w:type="default"/>
          <w:pgSz w:w="11906" w:h="16838"/>
          <w:pgMar w:top="1701" w:right="1418" w:bottom="1531" w:left="1701" w:header="1134" w:footer="737" w:gutter="0"/>
          <w:cols w:space="425" w:num="1"/>
          <w:docGrid w:type="lines" w:linePitch="408" w:charSpace="0"/>
        </w:sectPr>
      </w:pPr>
      <w:r>
        <w:rPr>
          <w:rFonts w:hint="eastAsia" w:ascii="Times New Roman" w:hAnsi="Times New Roman" w:cs="Times New Roman"/>
          <w:b w:val="0"/>
          <w:bCs w:val="0"/>
          <w:highlight w:val="none"/>
          <w:lang w:val="en-US" w:eastAsia="zh-CN"/>
        </w:rPr>
        <w:t>可持续发展原则。统筹考虑矿产资源的开发利用与生态保护修复，实现经济、社会和生态效益的协调统一。将生态保护修复纳入矿产资源开发的全过程，实现 “边开采、边修复”，使生态环境在开发过程中得到及时的恢复和改善。</w:t>
      </w:r>
    </w:p>
    <w:p w14:paraId="5873C616">
      <w:pPr>
        <w:pStyle w:val="3"/>
        <w:spacing w:before="204" w:after="81"/>
        <w:ind w:firstLine="0" w:firstLineChars="0"/>
        <w:jc w:val="center"/>
        <w:rPr>
          <w:rFonts w:ascii="Times New Roman" w:hAnsi="Times New Roman" w:cs="Times New Roman"/>
          <w:b/>
          <w:bCs w:val="0"/>
        </w:rPr>
      </w:pPr>
      <w:bookmarkStart w:id="63" w:name="_Toc15003"/>
      <w:bookmarkStart w:id="64" w:name="_Toc24618"/>
      <w:r>
        <w:rPr>
          <w:rFonts w:ascii="Times New Roman" w:hAnsi="Times New Roman" w:cs="Times New Roman"/>
          <w:b/>
          <w:bCs w:val="0"/>
        </w:rPr>
        <w:t>第</w:t>
      </w:r>
      <w:r>
        <w:rPr>
          <w:rFonts w:hint="eastAsia" w:ascii="Times New Roman" w:hAnsi="Times New Roman" w:cs="Times New Roman"/>
          <w:b/>
          <w:bCs w:val="0"/>
          <w:lang w:eastAsia="zh-CN"/>
        </w:rPr>
        <w:t>六</w:t>
      </w:r>
      <w:r>
        <w:rPr>
          <w:rFonts w:ascii="Times New Roman" w:hAnsi="Times New Roman" w:cs="Times New Roman"/>
          <w:b/>
          <w:bCs w:val="0"/>
        </w:rPr>
        <w:t xml:space="preserve">章  </w:t>
      </w:r>
      <w:r>
        <w:rPr>
          <w:rFonts w:hint="eastAsia" w:ascii="Times New Roman" w:hAnsi="Times New Roman" w:cs="Times New Roman"/>
          <w:b/>
          <w:bCs w:val="0"/>
        </w:rPr>
        <w:t>历史文化与景观风貌</w:t>
      </w:r>
      <w:bookmarkEnd w:id="63"/>
      <w:bookmarkEnd w:id="64"/>
    </w:p>
    <w:p w14:paraId="483BF9BF">
      <w:pPr>
        <w:pStyle w:val="4"/>
        <w:spacing w:before="204" w:after="81"/>
        <w:ind w:firstLine="0" w:firstLineChars="0"/>
        <w:rPr>
          <w:rFonts w:ascii="Times New Roman" w:hAnsi="Times New Roman" w:cs="Times New Roman"/>
        </w:rPr>
      </w:pPr>
      <w:bookmarkStart w:id="65" w:name="_Toc5574"/>
      <w:bookmarkStart w:id="66" w:name="_Toc31951"/>
      <w:bookmarkStart w:id="67" w:name="_Toc128574406"/>
      <w:r>
        <w:rPr>
          <w:rFonts w:ascii="Times New Roman" w:hAnsi="Times New Roman" w:cs="Times New Roman"/>
        </w:rPr>
        <w:t xml:space="preserve">第一节  </w:t>
      </w:r>
      <w:r>
        <w:rPr>
          <w:rFonts w:hint="eastAsia" w:ascii="Times New Roman" w:hAnsi="Times New Roman" w:cs="Times New Roman"/>
        </w:rPr>
        <w:t>历史</w:t>
      </w:r>
      <w:r>
        <w:rPr>
          <w:rFonts w:ascii="Times New Roman" w:hAnsi="Times New Roman" w:cs="Times New Roman"/>
        </w:rPr>
        <w:t>文化保护</w:t>
      </w:r>
      <w:bookmarkEnd w:id="65"/>
      <w:bookmarkEnd w:id="66"/>
      <w:bookmarkEnd w:id="67"/>
    </w:p>
    <w:p w14:paraId="1F56CA6F">
      <w:pPr>
        <w:pStyle w:val="5"/>
        <w:widowControl w:val="0"/>
        <w:numPr>
          <w:ilvl w:val="0"/>
          <w:numId w:val="10"/>
        </w:numPr>
        <w:tabs>
          <w:tab w:val="left" w:pos="420"/>
        </w:tabs>
        <w:spacing w:beforeAutospacing="1" w:line="240" w:lineRule="auto"/>
        <w:ind w:left="102" w:firstLine="602"/>
        <w:rPr>
          <w:rFonts w:hint="default" w:ascii="仿宋_GB2312" w:hAnsi="仿宋" w:cs="Times New Roman"/>
          <w:szCs w:val="30"/>
          <w:lang w:val="en-US" w:eastAsia="zh-CN"/>
        </w:rPr>
      </w:pPr>
      <w:r>
        <w:rPr>
          <w:rFonts w:hint="eastAsia" w:ascii="仿宋_GB2312" w:hAnsi="仿宋" w:cs="Times New Roman"/>
          <w:szCs w:val="30"/>
          <w:lang w:val="en-US" w:eastAsia="zh-CN"/>
        </w:rPr>
        <w:t>历史文化保护格局</w:t>
      </w:r>
    </w:p>
    <w:p w14:paraId="5B3F2D24">
      <w:pPr>
        <w:keepNext w:val="0"/>
        <w:keepLines w:val="0"/>
        <w:widowControl/>
        <w:suppressLineNumbers w:val="0"/>
        <w:jc w:val="left"/>
        <w:rPr>
          <w:rFonts w:hint="eastAsia"/>
          <w:color w:val="auto"/>
          <w:highlight w:val="none"/>
        </w:rPr>
      </w:pPr>
      <w:r>
        <w:rPr>
          <w:rFonts w:hint="eastAsia"/>
          <w:color w:val="auto"/>
          <w:highlight w:val="none"/>
          <w:lang w:val="en-US" w:eastAsia="zh-CN"/>
        </w:rPr>
        <w:t>依据红花铺历史文化遗存分布特点，落实相关上位规划部署，以现状遗存保护和活化利用为目的，形成“一带一线多点”的历史文化保护传承格局</w:t>
      </w:r>
      <w:r>
        <w:rPr>
          <w:rFonts w:hint="eastAsia"/>
          <w:color w:val="auto"/>
          <w:highlight w:val="none"/>
        </w:rPr>
        <w:t>。</w:t>
      </w:r>
    </w:p>
    <w:p w14:paraId="1192CC5B">
      <w:pPr>
        <w:keepNext w:val="0"/>
        <w:keepLines w:val="0"/>
        <w:widowControl/>
        <w:suppressLineNumbers w:val="0"/>
        <w:jc w:val="left"/>
        <w:rPr>
          <w:rFonts w:hint="default" w:eastAsia="仿宋_GB2312"/>
          <w:color w:val="auto"/>
          <w:highlight w:val="none"/>
          <w:lang w:val="en-US" w:eastAsia="zh-CN"/>
        </w:rPr>
      </w:pPr>
      <w:r>
        <w:rPr>
          <w:rFonts w:hint="eastAsia"/>
          <w:color w:val="auto"/>
          <w:highlight w:val="none"/>
          <w:lang w:val="en-US" w:eastAsia="zh-CN"/>
        </w:rPr>
        <w:t>一带：嘉陵江文化旅游发展带。</w:t>
      </w:r>
      <w:r>
        <w:rPr>
          <w:rFonts w:hint="eastAsia"/>
          <w:lang w:val="en-US" w:eastAsia="zh-CN"/>
        </w:rPr>
        <w:t>以永生村乡村旅游景区及</w:t>
      </w:r>
      <w:r>
        <w:rPr>
          <w:rFonts w:hint="eastAsia"/>
          <w:color w:val="auto"/>
          <w:highlight w:val="none"/>
          <w:lang w:val="en-US" w:eastAsia="zh-CN"/>
        </w:rPr>
        <w:t>嘉陵江自然景观风貌为依托，串联全域的历史文化遗产点，对永红遗址、杨家老宅、五里庙石塔、长桥栈道遗址4处县级文物保护单位重点</w:t>
      </w:r>
      <w:r>
        <w:rPr>
          <w:rFonts w:hint="eastAsia"/>
        </w:rPr>
        <w:t>进行保护和</w:t>
      </w:r>
      <w:r>
        <w:rPr>
          <w:rFonts w:hint="eastAsia"/>
          <w:lang w:val="en-US" w:eastAsia="zh-CN"/>
        </w:rPr>
        <w:t>活化</w:t>
      </w:r>
      <w:r>
        <w:rPr>
          <w:rFonts w:hint="eastAsia"/>
        </w:rPr>
        <w:t>利用</w:t>
      </w:r>
      <w:r>
        <w:rPr>
          <w:rFonts w:hint="eastAsia"/>
          <w:lang w:eastAsia="zh-CN"/>
        </w:rPr>
        <w:t>，</w:t>
      </w:r>
      <w:r>
        <w:rPr>
          <w:rFonts w:hint="eastAsia"/>
          <w:lang w:val="en-US" w:eastAsia="zh-CN"/>
        </w:rPr>
        <w:t>发掘旅游价值。</w:t>
      </w:r>
    </w:p>
    <w:p w14:paraId="1BCA4FD6">
      <w:pPr>
        <w:keepNext w:val="0"/>
        <w:keepLines w:val="0"/>
        <w:widowControl/>
        <w:suppressLineNumbers w:val="0"/>
        <w:jc w:val="left"/>
        <w:rPr>
          <w:rFonts w:hint="default"/>
          <w:color w:val="auto"/>
          <w:highlight w:val="none"/>
          <w:lang w:val="en-US" w:eastAsia="zh-CN"/>
        </w:rPr>
      </w:pPr>
      <w:r>
        <w:rPr>
          <w:rFonts w:hint="eastAsia"/>
          <w:color w:val="auto"/>
          <w:highlight w:val="none"/>
          <w:lang w:val="en-US" w:eastAsia="zh-CN"/>
        </w:rPr>
        <w:t>一线：陈仓道文化线。充分发挥陈仓古栈道深刻的文化内涵，与上下游地区协同从整体上进行保护，与周边村庄紧密结合，带动旅游、文化、农产品生产加工等产业发展，为沿线村庄发展注入新动能，逐渐打造为展现历史文化和地域风貌的文明传承之路。</w:t>
      </w:r>
    </w:p>
    <w:p w14:paraId="42729360">
      <w:pPr>
        <w:ind w:firstLine="600"/>
        <w:rPr>
          <w:rFonts w:ascii="仿宋_GB2312" w:hAnsi="宋体" w:cs="仿宋_GB2312"/>
          <w:color w:val="000000"/>
          <w:kern w:val="0"/>
          <w:szCs w:val="30"/>
          <w:lang w:bidi="ar"/>
        </w:rPr>
      </w:pPr>
      <w:r>
        <w:rPr>
          <w:rFonts w:hint="eastAsia"/>
          <w:color w:val="auto"/>
          <w:highlight w:val="none"/>
          <w:lang w:val="en-US" w:eastAsia="zh-CN"/>
        </w:rPr>
        <w:t>多点：镇域内分布的文物保护单位、古树名木及非遗文化，实行差别化保护，各类历史文物点形成历史文化保护的重要节点</w:t>
      </w:r>
      <w:r>
        <w:rPr>
          <w:rFonts w:ascii="仿宋_GB2312" w:hAnsi="宋体" w:cs="仿宋_GB2312"/>
          <w:color w:val="000000"/>
          <w:kern w:val="0"/>
          <w:szCs w:val="30"/>
          <w:lang w:bidi="ar"/>
        </w:rPr>
        <w:t>。</w:t>
      </w:r>
    </w:p>
    <w:p w14:paraId="4F230DF8">
      <w:pPr>
        <w:pStyle w:val="5"/>
        <w:widowControl w:val="0"/>
        <w:numPr>
          <w:ilvl w:val="0"/>
          <w:numId w:val="10"/>
        </w:numPr>
        <w:tabs>
          <w:tab w:val="left" w:pos="420"/>
        </w:tabs>
        <w:spacing w:beforeAutospacing="1" w:line="240" w:lineRule="auto"/>
        <w:ind w:left="102" w:firstLine="602"/>
        <w:rPr>
          <w:rFonts w:hint="eastAsia" w:ascii="仿宋_GB2312" w:hAnsi="仿宋" w:cs="Times New Roman"/>
          <w:szCs w:val="30"/>
          <w:lang w:val="en-US" w:eastAsia="zh-CN"/>
        </w:rPr>
      </w:pPr>
      <w:r>
        <w:rPr>
          <w:rFonts w:hint="eastAsia" w:ascii="仿宋_GB2312" w:hAnsi="仿宋" w:cs="Times New Roman"/>
          <w:szCs w:val="30"/>
          <w:lang w:val="en-US" w:eastAsia="zh-CN"/>
        </w:rPr>
        <w:t>历史文化保护内容</w:t>
      </w:r>
    </w:p>
    <w:p w14:paraId="758041BC">
      <w:pPr>
        <w:pStyle w:val="6"/>
        <w:widowControl w:val="0"/>
        <w:numPr>
          <w:ilvl w:val="0"/>
          <w:numId w:val="11"/>
        </w:numPr>
        <w:spacing w:before="100" w:beforeAutospacing="1" w:line="240" w:lineRule="auto"/>
        <w:ind w:firstLine="602"/>
        <w:rPr>
          <w:rFonts w:hint="default" w:ascii="仿宋_GB2312" w:hAnsi="仿宋" w:cs="Times New Roman"/>
          <w:b/>
          <w:szCs w:val="30"/>
          <w:lang w:val="en-US" w:eastAsia="zh-CN"/>
        </w:rPr>
      </w:pPr>
      <w:r>
        <w:rPr>
          <w:rFonts w:hint="eastAsia" w:ascii="仿宋_GB2312" w:hAnsi="仿宋" w:cs="Times New Roman"/>
          <w:b/>
          <w:szCs w:val="30"/>
          <w:lang w:val="en-US" w:eastAsia="zh-CN"/>
        </w:rPr>
        <w:t>文保单位</w:t>
      </w:r>
    </w:p>
    <w:p w14:paraId="3D086028">
      <w:pPr>
        <w:ind w:firstLine="600"/>
        <w:rPr>
          <w:rFonts w:hint="default" w:ascii="Times New Roman" w:hAnsi="Times New Roman" w:eastAsia="仿宋_GB2312" w:cs="Times New Roman"/>
          <w:szCs w:val="30"/>
          <w:highlight w:val="none"/>
          <w:lang w:val="en-US" w:eastAsia="zh-CN"/>
        </w:rPr>
      </w:pPr>
      <w:r>
        <w:rPr>
          <w:rFonts w:hint="eastAsia" w:ascii="Times New Roman" w:hAnsi="Times New Roman" w:cs="Times New Roman"/>
          <w:szCs w:val="30"/>
          <w:highlight w:val="none"/>
          <w:lang w:val="en-US" w:eastAsia="zh-CN"/>
        </w:rPr>
        <w:t>红花铺镇境内历史文化遗存丰富，现有文保单位6处，</w:t>
      </w:r>
      <w:r>
        <w:rPr>
          <w:rFonts w:hint="eastAsia"/>
        </w:rPr>
        <w:t>其中省级文物保护单位</w:t>
      </w:r>
      <w:r>
        <w:rPr>
          <w:rFonts w:hint="eastAsia" w:ascii="Times New Roman" w:hAnsi="Times New Roman" w:cs="Times New Roman"/>
          <w:szCs w:val="30"/>
          <w:highlight w:val="none"/>
          <w:lang w:val="en-US" w:eastAsia="zh-CN"/>
        </w:rPr>
        <w:t>1</w:t>
      </w:r>
      <w:r>
        <w:rPr>
          <w:rFonts w:hint="eastAsia"/>
        </w:rPr>
        <w:t>处</w:t>
      </w:r>
      <w:r>
        <w:rPr>
          <w:rFonts w:hint="eastAsia"/>
          <w:lang w:eastAsia="zh-CN"/>
        </w:rPr>
        <w:t>（</w:t>
      </w:r>
      <w:r>
        <w:rPr>
          <w:rFonts w:hint="eastAsia"/>
          <w:lang w:val="en-US" w:eastAsia="zh-CN"/>
        </w:rPr>
        <w:t>天台寺关帝殿</w:t>
      </w:r>
      <w:r>
        <w:rPr>
          <w:rFonts w:hint="eastAsia"/>
          <w:lang w:eastAsia="zh-CN"/>
        </w:rPr>
        <w:t>）</w:t>
      </w:r>
      <w:r>
        <w:rPr>
          <w:rFonts w:hint="eastAsia"/>
          <w:lang w:val="en-US" w:eastAsia="zh-CN"/>
        </w:rPr>
        <w:t>，划定文物保护范围2.23公顷；</w:t>
      </w:r>
      <w:r>
        <w:rPr>
          <w:rFonts w:hint="eastAsia"/>
        </w:rPr>
        <w:t>县级文物保护单位</w:t>
      </w:r>
      <w:r>
        <w:rPr>
          <w:rFonts w:hint="eastAsia" w:ascii="Times New Roman" w:hAnsi="Times New Roman" w:cs="Times New Roman"/>
          <w:szCs w:val="30"/>
          <w:highlight w:val="none"/>
          <w:lang w:val="en-US" w:eastAsia="zh-CN"/>
        </w:rPr>
        <w:t>5</w:t>
      </w:r>
      <w:r>
        <w:rPr>
          <w:rFonts w:hint="eastAsia"/>
        </w:rPr>
        <w:t>处</w:t>
      </w:r>
      <w:r>
        <w:rPr>
          <w:rFonts w:hint="eastAsia"/>
          <w:lang w:eastAsia="zh-CN"/>
        </w:rPr>
        <w:t>（</w:t>
      </w:r>
      <w:r>
        <w:rPr>
          <w:rFonts w:hint="eastAsia"/>
          <w:lang w:val="en-US" w:eastAsia="zh-CN"/>
        </w:rPr>
        <w:t>孙永生烈士墓、</w:t>
      </w:r>
      <w:r>
        <w:rPr>
          <w:rFonts w:hint="eastAsia"/>
          <w:color w:val="auto"/>
          <w:highlight w:val="none"/>
          <w:lang w:val="en-US" w:eastAsia="zh-CN"/>
        </w:rPr>
        <w:t>永红遗址、杨家老宅、五里庙石塔、长桥栈道遗址</w:t>
      </w:r>
      <w:r>
        <w:rPr>
          <w:rFonts w:hint="eastAsia"/>
          <w:lang w:eastAsia="zh-CN"/>
        </w:rPr>
        <w:t>）；</w:t>
      </w:r>
      <w:r>
        <w:rPr>
          <w:rFonts w:hint="eastAsia"/>
          <w:lang w:val="en-US" w:eastAsia="zh-CN"/>
        </w:rPr>
        <w:t>古树名木</w:t>
      </w:r>
      <w:r>
        <w:rPr>
          <w:rFonts w:hint="eastAsia" w:ascii="Times New Roman" w:hAnsi="Times New Roman" w:cs="Times New Roman"/>
          <w:szCs w:val="30"/>
          <w:highlight w:val="none"/>
          <w:lang w:val="en-US" w:eastAsia="zh-CN"/>
        </w:rPr>
        <w:t>3</w:t>
      </w:r>
      <w:r>
        <w:rPr>
          <w:rFonts w:hint="eastAsia"/>
          <w:lang w:val="en-US" w:eastAsia="zh-CN"/>
        </w:rPr>
        <w:t>处。充分挖掘红花铺陈仓文化历史文化资源，整合沿线村落的</w:t>
      </w:r>
      <w:r>
        <w:rPr>
          <w:rFonts w:ascii="Times New Roman" w:hAnsi="Times New Roman" w:eastAsia="仿宋_GB2312"/>
          <w:sz w:val="30"/>
          <w:szCs w:val="30"/>
        </w:rPr>
        <w:t>乡土文化、地域文化、民俗文化等特色资源，深化文旅融合促进文物活化利用。</w:t>
      </w:r>
    </w:p>
    <w:p w14:paraId="0CFF00CC">
      <w:pPr>
        <w:keepNext w:val="0"/>
        <w:keepLines w:val="0"/>
        <w:widowControl/>
        <w:suppressLineNumbers w:val="0"/>
        <w:jc w:val="left"/>
        <w:rPr>
          <w:rFonts w:hint="eastAsia" w:ascii="Times New Roman" w:hAnsi="Times New Roman" w:cs="Times New Roman"/>
          <w:lang w:val="en-US" w:eastAsia="zh-CN"/>
        </w:rPr>
      </w:pPr>
      <w:r>
        <w:rPr>
          <w:rFonts w:ascii="Times New Roman" w:hAnsi="Times New Roman" w:cs="Times New Roman"/>
        </w:rPr>
        <w:t>严格</w:t>
      </w:r>
      <w:r>
        <w:rPr>
          <w:rFonts w:hint="eastAsia" w:ascii="Times New Roman" w:hAnsi="Times New Roman" w:cs="Times New Roman"/>
          <w:lang w:val="en-US" w:eastAsia="zh-CN"/>
        </w:rPr>
        <w:t>依据</w:t>
      </w:r>
      <w:r>
        <w:rPr>
          <w:rFonts w:hint="eastAsia" w:ascii="Times New Roman" w:hAnsi="Times New Roman" w:cs="Times New Roman"/>
        </w:rPr>
        <w:t>文物保护相关法律法规</w:t>
      </w:r>
      <w:r>
        <w:rPr>
          <w:rFonts w:ascii="Times New Roman" w:hAnsi="Times New Roman" w:cs="Times New Roman"/>
        </w:rPr>
        <w:t>的保护要求，</w:t>
      </w:r>
      <w:r>
        <w:rPr>
          <w:rFonts w:hint="eastAsia"/>
        </w:rPr>
        <w:t>按照应保尽保的原则</w:t>
      </w:r>
      <w:r>
        <w:rPr>
          <w:rFonts w:hint="eastAsia"/>
          <w:lang w:eastAsia="zh-CN"/>
        </w:rPr>
        <w:t>，</w:t>
      </w:r>
      <w:r>
        <w:rPr>
          <w:rFonts w:hint="eastAsia" w:ascii="Times New Roman" w:hAnsi="Times New Roman" w:cs="Times New Roman"/>
          <w:lang w:val="en-US" w:eastAsia="zh-CN"/>
        </w:rPr>
        <w:t>明确范围核心保护范围和建设控制地带</w:t>
      </w:r>
      <w:r>
        <w:rPr>
          <w:rFonts w:hint="eastAsia" w:ascii="Times New Roman" w:hAnsi="Times New Roman" w:cs="Times New Roman"/>
          <w:lang w:eastAsia="zh-CN"/>
        </w:rPr>
        <w:t>。</w:t>
      </w:r>
      <w:r>
        <w:rPr>
          <w:rFonts w:hint="eastAsia" w:ascii="Times New Roman" w:hAnsi="Times New Roman" w:cs="Times New Roman"/>
          <w:lang w:val="en-US" w:eastAsia="zh-CN"/>
        </w:rPr>
        <w:t>在文物保护单位的保护范围内不得进行其他建设工程或者爆破、钻</w:t>
      </w:r>
      <w:r>
        <w:rPr>
          <w:rFonts w:ascii="Times New Roman" w:hAnsi="Times New Roman" w:cs="Times New Roman"/>
          <w:lang w:val="en-US" w:eastAsia="zh-CN"/>
        </w:rPr>
        <w:t>探、挖掘等作业。在文物保</w:t>
      </w:r>
      <w:r>
        <w:rPr>
          <w:rFonts w:hint="eastAsia" w:ascii="Times New Roman" w:hAnsi="Times New Roman" w:cs="Times New Roman"/>
          <w:lang w:val="en-US" w:eastAsia="zh-CN"/>
        </w:rPr>
        <w:t>护单位的建设控制地带内进行建设工程，不得破坏文物保护单位的历史风貌。</w:t>
      </w:r>
    </w:p>
    <w:p w14:paraId="729EB3C2">
      <w:pPr>
        <w:pStyle w:val="6"/>
        <w:widowControl w:val="0"/>
        <w:numPr>
          <w:ilvl w:val="0"/>
          <w:numId w:val="11"/>
        </w:numPr>
        <w:spacing w:before="100" w:beforeAutospacing="1" w:line="240" w:lineRule="auto"/>
        <w:ind w:firstLine="602"/>
        <w:rPr>
          <w:rFonts w:hint="eastAsia" w:ascii="仿宋_GB2312" w:hAnsi="仿宋" w:cs="Times New Roman"/>
          <w:b/>
          <w:szCs w:val="30"/>
          <w:lang w:val="en-US" w:eastAsia="zh-CN"/>
        </w:rPr>
      </w:pPr>
      <w:r>
        <w:rPr>
          <w:rFonts w:hint="eastAsia" w:ascii="仿宋_GB2312" w:hAnsi="仿宋" w:cs="Times New Roman"/>
          <w:b/>
          <w:szCs w:val="30"/>
          <w:lang w:val="en-US" w:eastAsia="zh-CN"/>
        </w:rPr>
        <w:t>非物质文化遗产保护</w:t>
      </w:r>
    </w:p>
    <w:p w14:paraId="137A0A86">
      <w:pPr>
        <w:keepNext w:val="0"/>
        <w:keepLines w:val="0"/>
        <w:widowControl/>
        <w:suppressLineNumbers w:val="0"/>
        <w:jc w:val="both"/>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加强传统技艺红花铺制香工艺1项县级非物质文化遗产保护。推进永生村民俗文化特色村建设。红花铺镇自古为联结南北交通的通道，长桥古栈道遗址分布于此，栈道承载的历史、军事、题刻碑记等形成了灿烂的栈道文化。</w:t>
      </w:r>
    </w:p>
    <w:p w14:paraId="5232823E">
      <w:pPr>
        <w:keepNext w:val="0"/>
        <w:keepLines w:val="0"/>
        <w:widowControl/>
        <w:suppressLineNumbers w:val="0"/>
        <w:jc w:val="both"/>
        <w:rPr>
          <w:rFonts w:hint="eastAsia"/>
          <w:lang w:val="en-US" w:eastAsia="zh-CN"/>
        </w:rPr>
      </w:pPr>
      <w:r>
        <w:rPr>
          <w:rFonts w:ascii="仿宋_GB2312" w:hAnsi="宋体" w:eastAsia="仿宋_GB2312" w:cs="仿宋_GB2312"/>
          <w:color w:val="000000"/>
          <w:kern w:val="0"/>
          <w:sz w:val="30"/>
          <w:szCs w:val="30"/>
          <w:lang w:val="en-US" w:eastAsia="zh-CN" w:bidi="ar"/>
        </w:rPr>
        <w:t>深入挖掘民俗文化、非物质文化遗产和传统文化等特色资</w:t>
      </w:r>
      <w:r>
        <w:rPr>
          <w:rFonts w:hint="eastAsia" w:ascii="仿宋_GB2312" w:hAnsi="宋体" w:eastAsia="仿宋_GB2312" w:cs="仿宋_GB2312"/>
          <w:color w:val="000000"/>
          <w:kern w:val="0"/>
          <w:sz w:val="30"/>
          <w:szCs w:val="30"/>
          <w:lang w:val="en-US" w:eastAsia="zh-CN" w:bidi="ar"/>
        </w:rPr>
        <w:t>源，</w:t>
      </w:r>
      <w:r>
        <w:rPr>
          <w:rFonts w:hint="eastAsia" w:ascii="仿宋_GB2312" w:hAnsi="宋体" w:cs="仿宋_GB2312"/>
          <w:color w:val="000000"/>
          <w:kern w:val="0"/>
          <w:sz w:val="30"/>
          <w:szCs w:val="30"/>
          <w:lang w:val="en-US" w:eastAsia="zh-CN" w:bidi="ar"/>
        </w:rPr>
        <w:t>加大对非遗文化的保护传承与开发活化利用力度，</w:t>
      </w:r>
      <w:r>
        <w:rPr>
          <w:rFonts w:ascii="仿宋_GB2312" w:hAnsi="宋体" w:eastAsia="仿宋_GB2312" w:cs="仿宋_GB2312"/>
          <w:color w:val="000000"/>
          <w:kern w:val="0"/>
          <w:sz w:val="30"/>
          <w:szCs w:val="30"/>
          <w:lang w:val="en-US" w:eastAsia="zh-CN" w:bidi="ar"/>
        </w:rPr>
        <w:t>继承和弘扬</w:t>
      </w:r>
      <w:r>
        <w:rPr>
          <w:rFonts w:hint="eastAsia" w:ascii="仿宋_GB2312" w:hAnsi="宋体" w:cs="仿宋_GB2312"/>
          <w:color w:val="000000"/>
          <w:kern w:val="0"/>
          <w:sz w:val="30"/>
          <w:szCs w:val="30"/>
          <w:lang w:val="en-US" w:eastAsia="zh-CN" w:bidi="ar"/>
        </w:rPr>
        <w:t>中华优秀传统文化</w:t>
      </w:r>
      <w:r>
        <w:rPr>
          <w:rFonts w:ascii="仿宋_GB2312" w:hAnsi="宋体" w:eastAsia="仿宋_GB2312" w:cs="仿宋_GB2312"/>
          <w:color w:val="000000"/>
          <w:kern w:val="0"/>
          <w:sz w:val="30"/>
          <w:szCs w:val="30"/>
          <w:lang w:val="en-US" w:eastAsia="zh-CN" w:bidi="ar"/>
        </w:rPr>
        <w:t>，促进社会主义精神文明建设</w:t>
      </w:r>
      <w:r>
        <w:rPr>
          <w:rFonts w:hint="eastAsia" w:ascii="仿宋_GB2312" w:hAnsi="宋体" w:cs="仿宋_GB2312"/>
          <w:color w:val="000000"/>
          <w:kern w:val="0"/>
          <w:sz w:val="30"/>
          <w:szCs w:val="30"/>
          <w:lang w:val="en-US" w:eastAsia="zh-CN" w:bidi="ar"/>
        </w:rPr>
        <w:t>，对</w:t>
      </w:r>
      <w:r>
        <w:rPr>
          <w:rFonts w:ascii="仿宋_GB2312" w:hAnsi="宋体" w:eastAsia="仿宋_GB2312" w:cs="仿宋_GB2312"/>
          <w:color w:val="000000"/>
          <w:kern w:val="0"/>
          <w:sz w:val="30"/>
          <w:szCs w:val="30"/>
          <w:lang w:val="en-US" w:eastAsia="zh-CN" w:bidi="ar"/>
        </w:rPr>
        <w:t>具有历史、文学、艺术、科学价值的非物质文化遗产采取传承、传播等措施予以保护。</w:t>
      </w:r>
    </w:p>
    <w:p w14:paraId="3C19CA21">
      <w:pPr>
        <w:pStyle w:val="4"/>
        <w:spacing w:before="204" w:after="81"/>
        <w:ind w:firstLine="0" w:firstLineChars="0"/>
        <w:rPr>
          <w:rFonts w:ascii="Times New Roman" w:hAnsi="Times New Roman" w:cs="Times New Roman"/>
        </w:rPr>
      </w:pPr>
      <w:bookmarkStart w:id="68" w:name="_Toc20170"/>
      <w:bookmarkStart w:id="69" w:name="_Toc17725"/>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景观风貌管控</w:t>
      </w:r>
      <w:bookmarkEnd w:id="68"/>
      <w:bookmarkEnd w:id="69"/>
    </w:p>
    <w:p w14:paraId="7280F17D">
      <w:pPr>
        <w:pStyle w:val="5"/>
        <w:widowControl w:val="0"/>
        <w:numPr>
          <w:ilvl w:val="0"/>
          <w:numId w:val="12"/>
        </w:numPr>
        <w:tabs>
          <w:tab w:val="left" w:pos="420"/>
        </w:tabs>
        <w:spacing w:beforeAutospacing="1" w:line="240" w:lineRule="auto"/>
        <w:ind w:left="102" w:firstLine="602"/>
        <w:rPr>
          <w:rFonts w:hint="eastAsia" w:ascii="仿宋_GB2312" w:hAnsi="仿宋" w:cs="Times New Roman"/>
          <w:szCs w:val="30"/>
          <w:lang w:val="en-US" w:eastAsia="zh-CN"/>
        </w:rPr>
      </w:pPr>
      <w:r>
        <w:rPr>
          <w:rFonts w:hint="eastAsia" w:ascii="仿宋_GB2312" w:hAnsi="仿宋" w:cs="Times New Roman"/>
          <w:szCs w:val="30"/>
          <w:lang w:val="en-US" w:eastAsia="zh-CN"/>
        </w:rPr>
        <w:t>景观风貌指引</w:t>
      </w:r>
    </w:p>
    <w:p w14:paraId="1466538A">
      <w:pPr>
        <w:keepNext w:val="0"/>
        <w:keepLines w:val="0"/>
        <w:widowControl/>
        <w:suppressLineNumbers w:val="0"/>
        <w:jc w:val="both"/>
        <w:rPr>
          <w:rFonts w:hint="default"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落实相关上位规划的景观风貌引导要求，</w:t>
      </w:r>
      <w:r>
        <w:rPr>
          <w:rFonts w:hint="eastAsia" w:ascii="仿宋_GB2312" w:hAnsi="宋体" w:cs="仿宋_GB2312"/>
          <w:color w:val="000000"/>
          <w:kern w:val="0"/>
          <w:sz w:val="30"/>
          <w:szCs w:val="30"/>
          <w:lang w:val="en-US" w:eastAsia="zh-CN" w:bidi="ar"/>
        </w:rPr>
        <w:t>红花铺镇以秦岭自然风光为基础，</w:t>
      </w:r>
      <w:r>
        <w:rPr>
          <w:rFonts w:hint="eastAsia" w:ascii="Times New Roman" w:hAnsi="Times New Roman" w:cs="Times New Roman"/>
          <w:szCs w:val="30"/>
        </w:rPr>
        <w:t>以</w:t>
      </w:r>
      <w:r>
        <w:rPr>
          <w:rFonts w:hint="eastAsia" w:ascii="Times New Roman" w:hAnsi="Times New Roman" w:cs="Times New Roman"/>
          <w:szCs w:val="30"/>
          <w:lang w:eastAsia="zh-CN"/>
        </w:rPr>
        <w:t>“</w:t>
      </w:r>
      <w:r>
        <w:rPr>
          <w:rFonts w:hint="eastAsia" w:ascii="Times New Roman" w:hAnsi="Times New Roman" w:cs="Times New Roman"/>
          <w:szCs w:val="30"/>
          <w:lang w:val="en-US" w:eastAsia="zh-CN"/>
        </w:rPr>
        <w:t>白墙黛瓦马头墙”为特色的凤县</w:t>
      </w:r>
      <w:r>
        <w:rPr>
          <w:rFonts w:hint="eastAsia" w:ascii="Times New Roman" w:hAnsi="Times New Roman" w:cs="Times New Roman"/>
          <w:szCs w:val="30"/>
        </w:rPr>
        <w:t>民居建筑风貌为</w:t>
      </w:r>
      <w:r>
        <w:rPr>
          <w:rFonts w:hint="eastAsia" w:ascii="Times New Roman" w:hAnsi="Times New Roman" w:cs="Times New Roman"/>
          <w:szCs w:val="30"/>
          <w:lang w:val="en-US" w:eastAsia="zh-CN"/>
        </w:rPr>
        <w:t>基础</w:t>
      </w:r>
      <w:r>
        <w:rPr>
          <w:rFonts w:hint="eastAsia" w:ascii="Times New Roman" w:hAnsi="Times New Roman" w:cs="Times New Roman"/>
          <w:szCs w:val="30"/>
          <w:lang w:eastAsia="zh-CN"/>
        </w:rPr>
        <w:t>，</w:t>
      </w:r>
      <w:r>
        <w:rPr>
          <w:rFonts w:hint="eastAsia" w:ascii="Times New Roman" w:hAnsi="Times New Roman" w:cs="Times New Roman"/>
          <w:szCs w:val="30"/>
          <w:lang w:val="en-US" w:eastAsia="zh-CN"/>
        </w:rPr>
        <w:t>体现岭南民居特色，形成“嘉陵景镇，秦岭花谷”的风貌定位。</w:t>
      </w:r>
    </w:p>
    <w:p w14:paraId="29B4E470">
      <w:pPr>
        <w:pStyle w:val="5"/>
        <w:widowControl w:val="0"/>
        <w:numPr>
          <w:ilvl w:val="0"/>
          <w:numId w:val="12"/>
        </w:numPr>
        <w:tabs>
          <w:tab w:val="left" w:pos="420"/>
        </w:tabs>
        <w:spacing w:beforeAutospacing="1" w:line="240" w:lineRule="auto"/>
        <w:ind w:left="102" w:firstLine="602"/>
        <w:rPr>
          <w:rFonts w:hint="default" w:ascii="仿宋_GB2312" w:hAnsi="仿宋" w:cs="Times New Roman"/>
          <w:szCs w:val="30"/>
          <w:lang w:val="en-US" w:eastAsia="zh-CN"/>
        </w:rPr>
      </w:pPr>
      <w:r>
        <w:rPr>
          <w:rFonts w:hint="eastAsia" w:ascii="仿宋_GB2312" w:hAnsi="仿宋" w:cs="Times New Roman"/>
          <w:szCs w:val="30"/>
          <w:lang w:val="en-US" w:eastAsia="zh-CN"/>
        </w:rPr>
        <w:t>风貌分区</w:t>
      </w:r>
    </w:p>
    <w:p w14:paraId="72254487">
      <w:pPr>
        <w:keepNext w:val="0"/>
        <w:keepLines w:val="0"/>
        <w:widowControl/>
        <w:suppressLineNumbers w:val="0"/>
        <w:jc w:val="both"/>
        <w:rPr>
          <w:rFonts w:hint="default" w:ascii="仿宋_GB2312" w:hAnsi="仿宋_GB2312" w:cs="仿宋_GB2312"/>
          <w:b w:val="0"/>
          <w:bCs w:val="0"/>
          <w:color w:val="auto"/>
          <w:szCs w:val="30"/>
          <w:lang w:val="en-US" w:eastAsia="zh-CN"/>
        </w:rPr>
      </w:pPr>
      <w:r>
        <w:rPr>
          <w:rFonts w:hint="eastAsia"/>
          <w:b w:val="0"/>
          <w:bCs w:val="0"/>
          <w:color w:val="auto"/>
          <w:lang w:val="en-US" w:eastAsia="zh-CN"/>
        </w:rPr>
        <w:t>依据红花铺镇</w:t>
      </w:r>
      <w:r>
        <w:rPr>
          <w:rFonts w:hint="eastAsia"/>
          <w:b w:val="0"/>
          <w:bCs w:val="0"/>
          <w:color w:val="auto"/>
        </w:rPr>
        <w:t>城乡风貌环境条件、景观、</w:t>
      </w:r>
      <w:r>
        <w:rPr>
          <w:rFonts w:hint="eastAsia"/>
          <w:b w:val="0"/>
          <w:bCs w:val="0"/>
          <w:color w:val="auto"/>
          <w:lang w:val="en-US" w:eastAsia="zh-CN"/>
        </w:rPr>
        <w:t>资源</w:t>
      </w:r>
      <w:r>
        <w:rPr>
          <w:rFonts w:hint="eastAsia"/>
          <w:b w:val="0"/>
          <w:bCs w:val="0"/>
          <w:color w:val="auto"/>
          <w:lang w:eastAsia="zh-CN"/>
        </w:rPr>
        <w:t>、</w:t>
      </w:r>
      <w:r>
        <w:rPr>
          <w:rFonts w:hint="eastAsia"/>
          <w:b w:val="0"/>
          <w:bCs w:val="0"/>
          <w:color w:val="auto"/>
        </w:rPr>
        <w:t>民居建筑状况以及未来发展定位</w:t>
      </w:r>
      <w:r>
        <w:rPr>
          <w:rFonts w:hint="eastAsia"/>
          <w:b w:val="0"/>
          <w:bCs w:val="0"/>
          <w:color w:val="auto"/>
          <w:lang w:eastAsia="zh-CN"/>
        </w:rPr>
        <w:t>，</w:t>
      </w:r>
      <w:r>
        <w:rPr>
          <w:rFonts w:hint="eastAsia"/>
          <w:b w:val="0"/>
          <w:bCs w:val="0"/>
          <w:color w:val="auto"/>
          <w:lang w:val="en-US" w:eastAsia="zh-CN"/>
        </w:rPr>
        <w:t>规划形成“</w:t>
      </w:r>
      <w:r>
        <w:rPr>
          <w:rFonts w:hint="eastAsia" w:eastAsia="仿宋_GB2312" w:asciiTheme="minorHAnsi" w:hAnsiTheme="minorHAnsi" w:cstheme="minorBidi"/>
          <w:b w:val="0"/>
          <w:bCs w:val="0"/>
          <w:color w:val="auto"/>
          <w:kern w:val="2"/>
          <w:sz w:val="30"/>
          <w:szCs w:val="22"/>
          <w:lang w:val="en-US" w:eastAsia="zh-CN" w:bidi="ar-SA"/>
        </w:rPr>
        <w:t>嘉陵江生态风貌区</w:t>
      </w:r>
      <w:r>
        <w:rPr>
          <w:rFonts w:hint="eastAsia" w:cstheme="minorBidi"/>
          <w:b w:val="0"/>
          <w:bCs w:val="0"/>
          <w:color w:val="auto"/>
          <w:kern w:val="2"/>
          <w:sz w:val="30"/>
          <w:szCs w:val="22"/>
          <w:lang w:val="en-US" w:eastAsia="zh-CN" w:bidi="ar-SA"/>
        </w:rPr>
        <w:t>、</w:t>
      </w:r>
      <w:r>
        <w:rPr>
          <w:rFonts w:hint="eastAsia" w:ascii="Times New Roman" w:hAnsi="Times New Roman" w:cs="Times New Roman"/>
          <w:b w:val="0"/>
          <w:bCs w:val="0"/>
          <w:color w:val="auto"/>
          <w:lang w:val="en-US" w:eastAsia="zh-CN"/>
        </w:rPr>
        <w:t>田园风光风貌区、矿业工业风貌区、</w:t>
      </w:r>
      <w:r>
        <w:rPr>
          <w:rFonts w:hint="eastAsia"/>
          <w:b w:val="0"/>
          <w:bCs w:val="0"/>
          <w:color w:val="auto"/>
          <w:lang w:val="en-US" w:eastAsia="zh-CN"/>
        </w:rPr>
        <w:t>传统村落风貌区”四个景观风貌分区。</w:t>
      </w:r>
    </w:p>
    <w:p w14:paraId="56E60F32">
      <w:pPr>
        <w:keepNext w:val="0"/>
        <w:keepLines w:val="0"/>
        <w:pageBreakBefore w:val="0"/>
        <w:kinsoku/>
        <w:wordWrap/>
        <w:overflowPunct/>
        <w:topLinePunct w:val="0"/>
        <w:autoSpaceDE/>
        <w:autoSpaceDN/>
        <w:bidi w:val="0"/>
        <w:spacing w:line="360" w:lineRule="auto"/>
        <w:ind w:firstLine="602"/>
        <w:textAlignment w:val="auto"/>
        <w:rPr>
          <w:rFonts w:hint="eastAsia" w:ascii="Times New Roman" w:hAnsi="Times New Roman" w:cs="Times New Roman"/>
          <w:lang w:val="en-US" w:eastAsia="zh-CN"/>
        </w:rPr>
      </w:pPr>
      <w:r>
        <w:rPr>
          <w:rFonts w:hint="eastAsia" w:eastAsia="仿宋_GB2312" w:asciiTheme="minorHAnsi" w:hAnsiTheme="minorHAnsi" w:cstheme="minorBidi"/>
          <w:b/>
          <w:bCs/>
          <w:kern w:val="2"/>
          <w:sz w:val="30"/>
          <w:szCs w:val="22"/>
          <w:lang w:val="en-US" w:eastAsia="zh-CN" w:bidi="ar-SA"/>
        </w:rPr>
        <w:t>嘉陵江生态风貌区：</w:t>
      </w:r>
      <w:r>
        <w:rPr>
          <w:rFonts w:hint="eastAsia" w:eastAsia="仿宋_GB2312" w:asciiTheme="minorHAnsi" w:hAnsiTheme="minorHAnsi" w:cstheme="minorBidi"/>
          <w:b w:val="0"/>
          <w:bCs w:val="0"/>
          <w:kern w:val="2"/>
          <w:sz w:val="30"/>
          <w:szCs w:val="22"/>
          <w:lang w:val="en-US" w:eastAsia="zh-CN" w:bidi="ar-SA"/>
        </w:rPr>
        <w:t>依托红花铺镇依山傍水的自然风貌特征，充分发挥嘉陵江的景观特色，加强对山体、河湖风貌的保护管控。</w:t>
      </w:r>
      <w:r>
        <w:rPr>
          <w:rFonts w:hint="eastAsia" w:ascii="Times New Roman" w:hAnsi="Times New Roman" w:cs="Times New Roman"/>
          <w:lang w:val="en-US" w:eastAsia="zh-CN"/>
        </w:rPr>
        <w:t>沿嘉陵江建设生态绿道，串联起各个景观节点，建立红花铺生态旅游的重要品牌。</w:t>
      </w:r>
    </w:p>
    <w:p w14:paraId="4753F473">
      <w:pPr>
        <w:keepNext w:val="0"/>
        <w:keepLines w:val="0"/>
        <w:pageBreakBefore w:val="0"/>
        <w:kinsoku/>
        <w:wordWrap/>
        <w:overflowPunct/>
        <w:topLinePunct w:val="0"/>
        <w:autoSpaceDE/>
        <w:autoSpaceDN/>
        <w:bidi w:val="0"/>
        <w:spacing w:line="360" w:lineRule="auto"/>
        <w:ind w:firstLine="602"/>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田园风光风貌区：</w:t>
      </w:r>
      <w:r>
        <w:rPr>
          <w:rFonts w:hint="eastAsia" w:cs="Times New Roman"/>
          <w:color w:val="auto"/>
          <w:u w:val="none"/>
          <w:lang w:val="en-US" w:eastAsia="zh-CN"/>
        </w:rPr>
        <w:t>依托农田、果园等生态要素</w:t>
      </w:r>
      <w:r>
        <w:rPr>
          <w:rFonts w:hint="eastAsia" w:ascii="Times New Roman" w:hAnsi="Times New Roman" w:cs="Times New Roman"/>
          <w:lang w:val="en-US" w:eastAsia="zh-CN"/>
        </w:rPr>
        <w:t>，</w:t>
      </w:r>
      <w:r>
        <w:rPr>
          <w:rFonts w:hint="eastAsia" w:cs="Times New Roman"/>
          <w:color w:val="auto"/>
          <w:u w:val="none"/>
          <w:lang w:val="en-US" w:eastAsia="zh-CN"/>
        </w:rPr>
        <w:t>结合民俗文化体验、文物景点，将农业活动、自然风光、休闲娱乐、环境保护等融为一体，打造体现田园野趣的生态化农业景观。建筑风貌应体现关中民居特色、与本地乡土建筑风貌相一致</w:t>
      </w:r>
      <w:r>
        <w:rPr>
          <w:rFonts w:hint="eastAsia" w:ascii="Times New Roman" w:hAnsi="Times New Roman" w:cs="Times New Roman"/>
          <w:lang w:val="en-US" w:eastAsia="zh-CN"/>
        </w:rPr>
        <w:t>。</w:t>
      </w:r>
    </w:p>
    <w:p w14:paraId="279780F3">
      <w:pPr>
        <w:keepNext w:val="0"/>
        <w:keepLines w:val="0"/>
        <w:pageBreakBefore w:val="0"/>
        <w:kinsoku/>
        <w:wordWrap/>
        <w:overflowPunct/>
        <w:topLinePunct w:val="0"/>
        <w:autoSpaceDE/>
        <w:autoSpaceDN/>
        <w:bidi w:val="0"/>
        <w:spacing w:line="360" w:lineRule="auto"/>
        <w:ind w:firstLine="602"/>
        <w:textAlignment w:val="auto"/>
        <w:rPr>
          <w:rFonts w:hint="default" w:ascii="Times New Roman" w:hAnsi="Times New Roman" w:cs="Times New Roman"/>
          <w:lang w:val="en-US" w:eastAsia="zh-CN"/>
        </w:rPr>
      </w:pPr>
      <w:r>
        <w:rPr>
          <w:rFonts w:hint="eastAsia" w:ascii="Times New Roman" w:hAnsi="Times New Roman" w:cs="Times New Roman"/>
          <w:b/>
          <w:bCs/>
          <w:lang w:val="en-US" w:eastAsia="zh-CN"/>
        </w:rPr>
        <w:t>矿业工业风貌区：</w:t>
      </w:r>
      <w:r>
        <w:rPr>
          <w:rFonts w:hint="eastAsia" w:cs="Times New Roman"/>
          <w:color w:val="auto"/>
          <w:u w:val="none"/>
          <w:lang w:val="en-US" w:eastAsia="zh-CN"/>
        </w:rPr>
        <w:t>主要分布在矿产开采区域。依托红花铺镇丰富的矿产资源，在展现矿业生产特色的同时，注重生态保护与景观塑造，致力于打造一个集生产、科普、观光为一体的现代化矿业工业风貌区。</w:t>
      </w:r>
    </w:p>
    <w:p w14:paraId="7D81F8F9">
      <w:pPr>
        <w:ind w:firstLine="602"/>
        <w:rPr>
          <w:rFonts w:hint="eastAsia" w:ascii="Times New Roman" w:hAnsi="Times New Roman" w:eastAsia="仿宋_GB2312" w:cs="Times New Roman"/>
          <w:b w:val="0"/>
          <w:bCs w:val="0"/>
          <w:sz w:val="30"/>
          <w:szCs w:val="30"/>
          <w:lang w:val="en-US" w:eastAsia="zh-CN"/>
        </w:rPr>
      </w:pPr>
      <w:r>
        <w:rPr>
          <w:rFonts w:hint="eastAsia"/>
          <w:b/>
          <w:bCs/>
          <w:lang w:val="en-US" w:eastAsia="zh-CN"/>
        </w:rPr>
        <w:t>传统村落风貌区：</w:t>
      </w:r>
      <w:r>
        <w:rPr>
          <w:rFonts w:hint="eastAsia" w:ascii="Times New Roman" w:hAnsi="Times New Roman" w:eastAsia="仿宋_GB2312" w:cs="Times New Roman"/>
          <w:b w:val="0"/>
          <w:bCs w:val="0"/>
          <w:sz w:val="30"/>
          <w:szCs w:val="30"/>
          <w:lang w:val="en-US" w:eastAsia="zh-CN"/>
        </w:rPr>
        <w:t>以永生村、草凉驿村为代表，通过保留和修缮传统建筑塑造，遵循 “修旧如旧” 原则，还原古栈道、寺庙、古塔等建筑的历史风貌</w:t>
      </w:r>
      <w:r>
        <w:rPr>
          <w:rFonts w:hint="eastAsia" w:ascii="Times New Roman" w:hAnsi="Times New Roman" w:cs="Times New Roman"/>
          <w:b w:val="0"/>
          <w:bCs w:val="0"/>
          <w:sz w:val="30"/>
          <w:szCs w:val="30"/>
          <w:lang w:val="en-US" w:eastAsia="zh-CN"/>
        </w:rPr>
        <w:t>，</w:t>
      </w:r>
      <w:r>
        <w:rPr>
          <w:rFonts w:hint="eastAsia" w:ascii="Times New Roman" w:hAnsi="Times New Roman" w:eastAsia="仿宋_GB2312" w:cs="Times New Roman"/>
          <w:b w:val="0"/>
          <w:bCs w:val="0"/>
          <w:sz w:val="30"/>
          <w:szCs w:val="30"/>
          <w:lang w:val="en-US" w:eastAsia="zh-CN"/>
        </w:rPr>
        <w:t>保持传统关中特色风貌风格</w:t>
      </w:r>
      <w:r>
        <w:rPr>
          <w:rFonts w:hint="eastAsia"/>
          <w:b w:val="0"/>
          <w:bCs w:val="0"/>
          <w:lang w:val="en-US" w:eastAsia="zh-CN"/>
        </w:rPr>
        <w:t>，对嘉陵江两侧新建建筑高度、色彩及风貌进行控制，新建建筑应与镇区现状建筑风貌相协调，传承红花铺镇历史文化风貌</w:t>
      </w:r>
      <w:r>
        <w:rPr>
          <w:rFonts w:hint="eastAsia" w:ascii="Times New Roman" w:hAnsi="Times New Roman" w:eastAsia="仿宋_GB2312" w:cs="Times New Roman"/>
          <w:b w:val="0"/>
          <w:bCs w:val="0"/>
          <w:sz w:val="30"/>
          <w:szCs w:val="30"/>
          <w:lang w:val="en-US" w:eastAsia="zh-CN"/>
        </w:rPr>
        <w:t>。</w:t>
      </w:r>
    </w:p>
    <w:p w14:paraId="4BBF8BF8">
      <w:pPr>
        <w:keepNext w:val="0"/>
        <w:keepLines w:val="0"/>
        <w:pageBreakBefore w:val="0"/>
        <w:kinsoku/>
        <w:wordWrap/>
        <w:overflowPunct/>
        <w:topLinePunct w:val="0"/>
        <w:autoSpaceDE/>
        <w:autoSpaceDN/>
        <w:bidi w:val="0"/>
        <w:spacing w:line="360" w:lineRule="auto"/>
        <w:textAlignment w:val="auto"/>
        <w:rPr>
          <w:rFonts w:hint="default" w:eastAsia="仿宋_GB2312" w:asciiTheme="minorHAnsi" w:hAnsiTheme="minorHAnsi" w:cstheme="minorBidi"/>
          <w:b w:val="0"/>
          <w:bCs w:val="0"/>
          <w:kern w:val="2"/>
          <w:sz w:val="30"/>
          <w:szCs w:val="22"/>
          <w:lang w:val="en-US" w:eastAsia="zh-CN" w:bidi="ar-SA"/>
        </w:rPr>
      </w:pPr>
    </w:p>
    <w:p w14:paraId="501F8F81">
      <w:pPr>
        <w:pStyle w:val="2"/>
        <w:rPr>
          <w:rFonts w:hint="default"/>
          <w:lang w:val="en-US"/>
        </w:rPr>
        <w:sectPr>
          <w:headerReference r:id="rId21" w:type="default"/>
          <w:pgSz w:w="11906" w:h="16838"/>
          <w:pgMar w:top="1701" w:right="1418" w:bottom="1531" w:left="1701" w:header="1134" w:footer="737" w:gutter="0"/>
          <w:cols w:space="425" w:num="1"/>
          <w:docGrid w:type="lines" w:linePitch="408" w:charSpace="0"/>
        </w:sectPr>
      </w:pPr>
    </w:p>
    <w:p w14:paraId="5C69B7EA">
      <w:pPr>
        <w:pStyle w:val="3"/>
        <w:spacing w:before="204" w:after="81"/>
        <w:ind w:firstLine="0" w:firstLineChars="0"/>
        <w:rPr>
          <w:rFonts w:ascii="Times New Roman" w:hAnsi="Times New Roman" w:cs="Times New Roman"/>
          <w:b/>
          <w:bCs w:val="0"/>
        </w:rPr>
      </w:pPr>
      <w:bookmarkStart w:id="70" w:name="_Toc18150"/>
      <w:bookmarkStart w:id="71" w:name="_Toc2310"/>
      <w:bookmarkStart w:id="72" w:name="_Hlk130183752"/>
      <w:r>
        <w:rPr>
          <w:rFonts w:ascii="Times New Roman" w:hAnsi="Times New Roman" w:cs="Times New Roman"/>
          <w:b/>
          <w:bCs w:val="0"/>
        </w:rPr>
        <w:t>第</w:t>
      </w:r>
      <w:r>
        <w:rPr>
          <w:rFonts w:hint="eastAsia" w:ascii="Times New Roman" w:hAnsi="Times New Roman" w:cs="Times New Roman"/>
          <w:b/>
          <w:bCs w:val="0"/>
          <w:lang w:val="en-US" w:eastAsia="zh-CN"/>
        </w:rPr>
        <w:t>七</w:t>
      </w:r>
      <w:r>
        <w:rPr>
          <w:rFonts w:ascii="Times New Roman" w:hAnsi="Times New Roman" w:cs="Times New Roman"/>
          <w:b/>
          <w:bCs w:val="0"/>
        </w:rPr>
        <w:t>章  国土综合整治与生态修复</w:t>
      </w:r>
      <w:bookmarkEnd w:id="70"/>
      <w:bookmarkEnd w:id="71"/>
    </w:p>
    <w:bookmarkEnd w:id="72"/>
    <w:p w14:paraId="3783766B">
      <w:pPr>
        <w:pStyle w:val="4"/>
        <w:spacing w:before="204" w:after="81"/>
        <w:ind w:firstLine="0" w:firstLineChars="0"/>
        <w:rPr>
          <w:rFonts w:ascii="Times New Roman" w:hAnsi="Times New Roman" w:cs="Times New Roman"/>
        </w:rPr>
      </w:pPr>
      <w:bookmarkStart w:id="73" w:name="_Toc7159"/>
      <w:bookmarkStart w:id="74" w:name="_Toc20209"/>
      <w:r>
        <w:rPr>
          <w:rFonts w:ascii="Times New Roman" w:hAnsi="Times New Roman" w:cs="Times New Roman"/>
        </w:rPr>
        <w:t>第一节  国土综合整治</w:t>
      </w:r>
      <w:bookmarkEnd w:id="73"/>
      <w:bookmarkEnd w:id="74"/>
    </w:p>
    <w:p w14:paraId="166CFBD8">
      <w:pPr>
        <w:pStyle w:val="5"/>
        <w:widowControl w:val="0"/>
        <w:numPr>
          <w:ilvl w:val="0"/>
          <w:numId w:val="13"/>
        </w:numPr>
        <w:tabs>
          <w:tab w:val="left" w:pos="420"/>
        </w:tabs>
        <w:spacing w:beforeAutospacing="1" w:line="240" w:lineRule="auto"/>
        <w:ind w:left="102" w:firstLine="602"/>
        <w:rPr>
          <w:rFonts w:hint="default" w:ascii="仿宋_GB2312" w:hAnsi="仿宋" w:cs="Times New Roman"/>
          <w:szCs w:val="30"/>
          <w:lang w:val="en-US" w:eastAsia="zh-CN"/>
        </w:rPr>
      </w:pPr>
      <w:r>
        <w:rPr>
          <w:rFonts w:hint="eastAsia" w:ascii="仿宋_GB2312" w:hAnsi="仿宋" w:cs="Times New Roman"/>
          <w:szCs w:val="30"/>
          <w:lang w:val="en-US" w:eastAsia="zh-CN"/>
        </w:rPr>
        <w:t>农用地整治</w:t>
      </w:r>
    </w:p>
    <w:p w14:paraId="4534EC94">
      <w:pPr>
        <w:widowControl/>
        <w:ind w:firstLine="600"/>
        <w:rPr>
          <w:rFonts w:hint="default" w:ascii="Times New Roman" w:hAnsi="Times New Roman" w:cs="Times New Roman"/>
          <w:szCs w:val="30"/>
        </w:rPr>
      </w:pPr>
      <w:r>
        <w:t>规划期间，严格落实耕地</w:t>
      </w:r>
      <w:r>
        <w:rPr>
          <w:rFonts w:hint="eastAsia"/>
        </w:rPr>
        <w:t>占补平衡</w:t>
      </w:r>
      <w:r>
        <w:t>制度，</w:t>
      </w:r>
      <w:r>
        <w:rPr>
          <w:rFonts w:hint="eastAsia"/>
          <w:lang w:val="en-US" w:eastAsia="zh-CN"/>
        </w:rPr>
        <w:t>实现红花铺镇镇域</w:t>
      </w:r>
      <w:r>
        <w:rPr>
          <w:rFonts w:hint="eastAsia"/>
        </w:rPr>
        <w:t>耕地占补平衡</w:t>
      </w:r>
      <w:r>
        <w:t>，对</w:t>
      </w:r>
      <w:r>
        <w:rPr>
          <w:rFonts w:hint="eastAsia"/>
        </w:rPr>
        <w:t>镇域</w:t>
      </w:r>
      <w:r>
        <w:t>低效园地等农用地进行整治，确保</w:t>
      </w:r>
      <w:r>
        <w:rPr>
          <w:rFonts w:hint="eastAsia"/>
          <w:lang w:val="en-US" w:eastAsia="zh-CN"/>
        </w:rPr>
        <w:t>镇域</w:t>
      </w:r>
      <w:r>
        <w:t>耕地总量保持稳定。通过地力培肥、改良土壤、平整土地，改造和完善农业配套基础设施，提高耕地质量，增加有效耕地面积，提高农业综合生产能力。</w:t>
      </w:r>
      <w:r>
        <w:rPr>
          <w:rFonts w:hint="default" w:ascii="Times New Roman" w:hAnsi="Times New Roman" w:cs="Times New Roman"/>
          <w:szCs w:val="30"/>
        </w:rPr>
        <w:t>到2035年，</w:t>
      </w:r>
      <w:r>
        <w:rPr>
          <w:rFonts w:hint="eastAsia" w:ascii="Times New Roman" w:hAnsi="Times New Roman" w:cs="Times New Roman"/>
          <w:szCs w:val="30"/>
          <w:lang w:val="en-US" w:eastAsia="zh-CN"/>
        </w:rPr>
        <w:t>红花铺镇</w:t>
      </w:r>
      <w:r>
        <w:rPr>
          <w:rFonts w:hint="default" w:ascii="Times New Roman" w:hAnsi="Times New Roman" w:cs="Times New Roman"/>
          <w:szCs w:val="30"/>
        </w:rPr>
        <w:t>农用地整理面积为</w:t>
      </w:r>
      <w:r>
        <w:rPr>
          <w:rFonts w:hint="eastAsia" w:ascii="Times New Roman" w:hAnsi="Times New Roman" w:cs="Times New Roman"/>
          <w:szCs w:val="30"/>
          <w:lang w:val="en-US" w:eastAsia="zh-CN"/>
        </w:rPr>
        <w:t>28.33</w:t>
      </w:r>
      <w:r>
        <w:rPr>
          <w:rFonts w:hint="default" w:ascii="Times New Roman" w:hAnsi="Times New Roman" w:cs="Times New Roman"/>
          <w:szCs w:val="30"/>
        </w:rPr>
        <w:t>公顷，</w:t>
      </w:r>
      <w:r>
        <w:rPr>
          <w:rFonts w:hint="default" w:ascii="Times New Roman" w:hAnsi="Times New Roman" w:cs="Times New Roman"/>
          <w:color w:val="000000" w:themeColor="text1"/>
          <w:szCs w:val="30"/>
          <w14:textFill>
            <w14:solidFill>
              <w14:schemeClr w14:val="tx1"/>
            </w14:solidFill>
          </w14:textFill>
        </w:rPr>
        <w:t>可补充耕地</w:t>
      </w:r>
      <w:r>
        <w:rPr>
          <w:rFonts w:hint="eastAsia" w:ascii="Times New Roman" w:hAnsi="Times New Roman" w:cs="Times New Roman"/>
          <w:color w:val="000000" w:themeColor="text1"/>
          <w:szCs w:val="30"/>
          <w:lang w:val="en-US" w:eastAsia="zh-CN"/>
          <w14:textFill>
            <w14:solidFill>
              <w14:schemeClr w14:val="tx1"/>
            </w14:solidFill>
          </w14:textFill>
        </w:rPr>
        <w:t>20.36</w:t>
      </w:r>
      <w:r>
        <w:rPr>
          <w:rFonts w:hint="default" w:ascii="Times New Roman" w:hAnsi="Times New Roman" w:cs="Times New Roman"/>
          <w:color w:val="000000" w:themeColor="text1"/>
          <w:szCs w:val="30"/>
          <w14:textFill>
            <w14:solidFill>
              <w14:schemeClr w14:val="tx1"/>
            </w14:solidFill>
          </w14:textFill>
        </w:rPr>
        <w:t>公顷，</w:t>
      </w:r>
      <w:r>
        <w:rPr>
          <w:rFonts w:hint="default" w:ascii="Times New Roman" w:hAnsi="Times New Roman" w:cs="Times New Roman"/>
          <w:szCs w:val="30"/>
        </w:rPr>
        <w:t>农用地整治后可与周边耕地集中连片。</w:t>
      </w:r>
    </w:p>
    <w:p w14:paraId="6BF1B11E">
      <w:pPr>
        <w:pStyle w:val="5"/>
        <w:widowControl w:val="0"/>
        <w:numPr>
          <w:ilvl w:val="0"/>
          <w:numId w:val="13"/>
        </w:numPr>
        <w:tabs>
          <w:tab w:val="left" w:pos="420"/>
        </w:tabs>
        <w:spacing w:beforeAutospacing="1" w:line="240" w:lineRule="auto"/>
        <w:ind w:left="102" w:firstLine="602"/>
        <w:rPr>
          <w:rFonts w:hint="default" w:ascii="仿宋_GB2312" w:hAnsi="仿宋" w:cs="Times New Roman"/>
          <w:szCs w:val="30"/>
          <w:lang w:val="en-US" w:eastAsia="zh-CN"/>
        </w:rPr>
      </w:pPr>
      <w:r>
        <w:rPr>
          <w:rFonts w:hint="eastAsia" w:ascii="仿宋_GB2312" w:hAnsi="仿宋" w:cs="Times New Roman"/>
          <w:szCs w:val="30"/>
          <w:lang w:val="en-US" w:eastAsia="zh-CN"/>
        </w:rPr>
        <w:t>宜耕后备资源开发</w:t>
      </w:r>
    </w:p>
    <w:p w14:paraId="067C0150">
      <w:pPr>
        <w:bidi w:val="0"/>
        <w:rPr>
          <w:rFonts w:hint="eastAsia"/>
          <w:lang w:val="en-US" w:eastAsia="zh-CN"/>
        </w:rPr>
      </w:pPr>
      <w:r>
        <w:t>规划期间，推动宜耕后备土地资源开发建设，在保护和改善生态环境的前提下，实施土地平整、铺设田间作业道路、配套完善农田水利设施等，因地制宜适度开发宜耕后备土地资源，增加有效耕地面积。</w:t>
      </w:r>
      <w:r>
        <w:rPr>
          <w:rFonts w:hint="eastAsia"/>
          <w:lang w:val="en-US" w:eastAsia="zh-CN"/>
        </w:rPr>
        <w:t>到</w:t>
      </w:r>
      <w:r>
        <w:rPr>
          <w:rFonts w:hint="eastAsia" w:ascii="Times New Roman" w:hAnsi="Times New Roman" w:cs="Times New Roman"/>
          <w:lang w:val="en-US" w:eastAsia="zh-CN"/>
        </w:rPr>
        <w:t>2035</w:t>
      </w:r>
      <w:r>
        <w:rPr>
          <w:rFonts w:hint="eastAsia"/>
          <w:lang w:val="en-US" w:eastAsia="zh-CN"/>
        </w:rPr>
        <w:t>年，红花铺镇宜耕后备资源整治总规模为</w:t>
      </w:r>
      <w:r>
        <w:rPr>
          <w:rFonts w:hint="eastAsia" w:ascii="Times New Roman" w:hAnsi="Times New Roman" w:cs="Times New Roman"/>
          <w:lang w:val="en-US" w:eastAsia="zh-CN"/>
        </w:rPr>
        <w:t>0.08</w:t>
      </w:r>
      <w:r>
        <w:rPr>
          <w:rFonts w:hint="eastAsia"/>
          <w:lang w:val="en-US" w:eastAsia="zh-CN"/>
        </w:rPr>
        <w:t>公顷，新增耕地</w:t>
      </w:r>
      <w:r>
        <w:rPr>
          <w:rFonts w:hint="eastAsia" w:ascii="仿宋_GB2312" w:hAnsi="仿宋_GB2312" w:eastAsia="仿宋_GB2312" w:cs="仿宋_GB2312"/>
          <w:lang w:val="en-US" w:eastAsia="zh-CN"/>
        </w:rPr>
        <w:t>0.08</w:t>
      </w:r>
      <w:r>
        <w:rPr>
          <w:rFonts w:hint="eastAsia"/>
          <w:lang w:val="en-US" w:eastAsia="zh-CN"/>
        </w:rPr>
        <w:t>公顷。</w:t>
      </w:r>
    </w:p>
    <w:p w14:paraId="26149F9D">
      <w:pPr>
        <w:pStyle w:val="5"/>
        <w:widowControl w:val="0"/>
        <w:numPr>
          <w:ilvl w:val="0"/>
          <w:numId w:val="13"/>
        </w:numPr>
        <w:tabs>
          <w:tab w:val="left" w:pos="420"/>
        </w:tabs>
        <w:spacing w:beforeAutospacing="1" w:line="240" w:lineRule="auto"/>
        <w:ind w:left="102" w:firstLine="602"/>
        <w:rPr>
          <w:rFonts w:hint="default" w:ascii="仿宋_GB2312" w:hAnsi="仿宋" w:cs="Times New Roman"/>
          <w:szCs w:val="30"/>
          <w:lang w:val="en-US" w:eastAsia="zh-CN"/>
        </w:rPr>
      </w:pPr>
      <w:r>
        <w:rPr>
          <w:rFonts w:hint="eastAsia" w:ascii="仿宋_GB2312" w:hAnsi="仿宋" w:cs="Times New Roman"/>
          <w:szCs w:val="30"/>
          <w:lang w:val="en-US" w:eastAsia="zh-CN"/>
        </w:rPr>
        <w:t>建设用地整治</w:t>
      </w:r>
    </w:p>
    <w:p w14:paraId="0EC3B645">
      <w:pPr>
        <w:pStyle w:val="6"/>
        <w:widowControl w:val="0"/>
        <w:numPr>
          <w:ilvl w:val="0"/>
          <w:numId w:val="14"/>
        </w:numPr>
        <w:spacing w:before="100" w:beforeAutospacing="1" w:line="240" w:lineRule="auto"/>
        <w:ind w:firstLine="602"/>
        <w:rPr>
          <w:rFonts w:hint="default" w:ascii="仿宋_GB2312" w:hAnsi="仿宋" w:cs="Times New Roman"/>
          <w:b/>
          <w:szCs w:val="30"/>
          <w:lang w:val="en-US" w:eastAsia="zh-CN"/>
        </w:rPr>
      </w:pPr>
      <w:r>
        <w:rPr>
          <w:rFonts w:hint="eastAsia" w:ascii="仿宋_GB2312" w:hAnsi="仿宋" w:cs="Times New Roman"/>
          <w:b/>
          <w:szCs w:val="30"/>
          <w:lang w:val="en-US" w:eastAsia="zh-CN"/>
        </w:rPr>
        <w:t>低效城镇建设用地整治</w:t>
      </w:r>
    </w:p>
    <w:p w14:paraId="40D42850">
      <w:pPr>
        <w:ind w:firstLine="600"/>
        <w:rPr>
          <w:rFonts w:hint="eastAsia"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规划期间，以盘活低效闲置用地、促进镇区更新为目标，重点开展镇区低效建设用地整治，推进老信用社用地的再开发。通过项目包装、镇区统一改造等方式，盘活低效用地。</w:t>
      </w:r>
      <w:r>
        <w:rPr>
          <w:rFonts w:hint="eastAsia" w:ascii="Times New Roman" w:hAnsi="Times New Roman" w:cs="Times New Roman"/>
          <w:highlight w:val="none"/>
          <w:lang w:val="en-US" w:eastAsia="zh-CN"/>
        </w:rPr>
        <w:t>到2035年，低效城镇建设用地</w:t>
      </w:r>
      <w:r>
        <w:rPr>
          <w:rFonts w:hint="eastAsia" w:ascii="Times New Roman" w:hAnsi="Times New Roman" w:cs="Times New Roman"/>
          <w:szCs w:val="30"/>
          <w:highlight w:val="none"/>
          <w:lang w:val="en-US" w:eastAsia="zh-CN"/>
        </w:rPr>
        <w:t>整治规模为0.41公顷。</w:t>
      </w:r>
    </w:p>
    <w:p w14:paraId="503F8438">
      <w:pPr>
        <w:pStyle w:val="6"/>
        <w:widowControl w:val="0"/>
        <w:numPr>
          <w:ilvl w:val="0"/>
          <w:numId w:val="14"/>
        </w:numPr>
        <w:spacing w:before="100" w:beforeAutospacing="1" w:line="240" w:lineRule="auto"/>
        <w:ind w:firstLine="602"/>
        <w:rPr>
          <w:rFonts w:hint="default" w:ascii="仿宋_GB2312" w:hAnsi="仿宋" w:cs="Times New Roman"/>
          <w:b/>
          <w:szCs w:val="30"/>
          <w:lang w:val="en-US" w:eastAsia="zh-CN"/>
        </w:rPr>
      </w:pPr>
      <w:r>
        <w:rPr>
          <w:rFonts w:hint="eastAsia" w:ascii="仿宋_GB2312" w:hAnsi="仿宋" w:cs="Times New Roman"/>
          <w:b/>
          <w:szCs w:val="30"/>
          <w:lang w:val="en-US" w:eastAsia="zh-CN"/>
        </w:rPr>
        <w:t>农村建设用地整治</w:t>
      </w:r>
    </w:p>
    <w:p w14:paraId="49FA5032">
      <w:pPr>
        <w:ind w:firstLine="600"/>
        <w:rPr>
          <w:rFonts w:hint="eastAsia" w:ascii="Times New Roman" w:hAnsi="Times New Roman" w:cs="Times New Roman"/>
          <w:szCs w:val="30"/>
        </w:rPr>
      </w:pPr>
      <w:r>
        <w:rPr>
          <w:rFonts w:hint="eastAsia" w:ascii="Times New Roman" w:hAnsi="Times New Roman" w:cs="Times New Roman"/>
          <w:szCs w:val="30"/>
          <w:highlight w:val="none"/>
          <w:lang w:val="en-US" w:eastAsia="zh-CN"/>
        </w:rPr>
        <w:t>规划期间，利用城乡建设用地增减挂钩、避灾搬迁等政策，对永生村、红</w:t>
      </w:r>
      <w:r>
        <w:rPr>
          <w:rFonts w:hint="eastAsia" w:ascii="Times New Roman" w:hAnsi="Times New Roman" w:cs="Times New Roman"/>
          <w:color w:val="auto"/>
          <w:szCs w:val="30"/>
          <w:highlight w:val="none"/>
          <w:lang w:val="en-US" w:eastAsia="zh-CN"/>
        </w:rPr>
        <w:t>花铺村、草凉驿村等散乱、闲置、废弃的建设用地进行腾退和整理，到2035年，农村建设用地整治规模为5.61公顷，可补充耕地4.48公顷</w:t>
      </w:r>
      <w:r>
        <w:rPr>
          <w:rFonts w:hint="eastAsia" w:ascii="Times New Roman" w:hAnsi="Times New Roman" w:cs="Times New Roman"/>
          <w:color w:val="auto"/>
          <w:szCs w:val="30"/>
        </w:rPr>
        <w:t>。</w:t>
      </w:r>
    </w:p>
    <w:p w14:paraId="33FA2FE1">
      <w:pPr>
        <w:pStyle w:val="6"/>
        <w:widowControl w:val="0"/>
        <w:numPr>
          <w:ilvl w:val="0"/>
          <w:numId w:val="14"/>
        </w:numPr>
        <w:spacing w:before="100" w:beforeAutospacing="1" w:line="240" w:lineRule="auto"/>
        <w:ind w:firstLine="602"/>
        <w:rPr>
          <w:rFonts w:hint="default" w:ascii="仿宋_GB2312" w:hAnsi="仿宋" w:cs="Times New Roman"/>
          <w:b/>
          <w:szCs w:val="30"/>
          <w:lang w:val="en-US" w:eastAsia="zh-CN"/>
        </w:rPr>
      </w:pPr>
      <w:r>
        <w:rPr>
          <w:rFonts w:hint="eastAsia" w:ascii="仿宋_GB2312" w:hAnsi="仿宋" w:cs="Times New Roman"/>
          <w:b/>
          <w:szCs w:val="30"/>
          <w:lang w:val="en-US" w:eastAsia="zh-CN"/>
        </w:rPr>
        <w:t>土地复垦</w:t>
      </w:r>
    </w:p>
    <w:p w14:paraId="3860FD89">
      <w:pPr>
        <w:ind w:firstLine="600"/>
      </w:pPr>
      <w:r>
        <w:rPr>
          <w:rFonts w:hint="eastAsia" w:ascii="Times New Roman" w:hAnsi="Times New Roman"/>
          <w:sz w:val="30"/>
          <w:szCs w:val="30"/>
          <w:lang w:val="en-US" w:eastAsia="zh-CN"/>
        </w:rPr>
        <w:t>规划期间，</w:t>
      </w:r>
      <w:r>
        <w:rPr>
          <w:rFonts w:hint="eastAsia" w:ascii="Times New Roman" w:hAnsi="Times New Roman" w:eastAsia="仿宋_GB2312"/>
          <w:sz w:val="30"/>
          <w:szCs w:val="30"/>
        </w:rPr>
        <w:t>按照“宜耕则耕、宜林则林、宜园则园”的治理思路</w:t>
      </w:r>
      <w:r>
        <w:rPr>
          <w:rFonts w:hint="eastAsia" w:ascii="Times New Roman" w:hAnsi="Times New Roman"/>
          <w:sz w:val="30"/>
          <w:szCs w:val="30"/>
          <w:lang w:eastAsia="zh-CN"/>
        </w:rPr>
        <w:t>，</w:t>
      </w:r>
      <w:r>
        <w:rPr>
          <w:rFonts w:ascii="Times New Roman" w:hAnsi="Times New Roman" w:eastAsia="仿宋_GB2312"/>
          <w:sz w:val="30"/>
          <w:szCs w:val="30"/>
        </w:rPr>
        <w:t>对</w:t>
      </w:r>
      <w:r>
        <w:rPr>
          <w:rFonts w:hint="eastAsia" w:ascii="Times New Roman" w:hAnsi="Times New Roman"/>
          <w:sz w:val="30"/>
          <w:szCs w:val="30"/>
          <w:lang w:eastAsia="zh-CN"/>
        </w:rPr>
        <w:t>白家店村</w:t>
      </w:r>
      <w:r>
        <w:rPr>
          <w:rFonts w:hint="eastAsia" w:ascii="Times New Roman" w:hAnsi="Times New Roman" w:eastAsia="仿宋_GB2312"/>
          <w:sz w:val="30"/>
          <w:szCs w:val="30"/>
        </w:rPr>
        <w:t>废弃工矿用地</w:t>
      </w:r>
      <w:r>
        <w:rPr>
          <w:rFonts w:hint="eastAsia" w:eastAsia="仿宋_GB2312"/>
          <w:sz w:val="30"/>
          <w:szCs w:val="30"/>
          <w:lang w:eastAsia="zh-CN"/>
        </w:rPr>
        <w:t>实施</w:t>
      </w:r>
      <w:r>
        <w:rPr>
          <w:rFonts w:hint="eastAsia" w:ascii="Times New Roman" w:hAnsi="Times New Roman" w:eastAsia="仿宋_GB2312"/>
          <w:sz w:val="30"/>
          <w:szCs w:val="30"/>
        </w:rPr>
        <w:t>整治</w:t>
      </w:r>
      <w:r>
        <w:rPr>
          <w:rFonts w:hint="eastAsia" w:eastAsia="仿宋_GB2312"/>
          <w:sz w:val="30"/>
          <w:szCs w:val="30"/>
          <w:lang w:eastAsia="zh-CN"/>
        </w:rPr>
        <w:t>复垦。</w:t>
      </w:r>
      <w:r>
        <w:rPr>
          <w:rFonts w:hint="eastAsia" w:ascii="Times New Roman" w:hAnsi="Times New Roman" w:cs="Times New Roman"/>
          <w:szCs w:val="30"/>
          <w:highlight w:val="none"/>
          <w:lang w:val="en-US" w:eastAsia="zh-CN"/>
        </w:rPr>
        <w:t>到2035年，工矿用地复垦规模为0.60公顷，可补充耕地0.60公顷</w:t>
      </w:r>
      <w:r>
        <w:rPr>
          <w:rFonts w:hint="eastAsia" w:ascii="Times New Roman" w:hAnsi="Times New Roman" w:cs="Times New Roman"/>
          <w:szCs w:val="30"/>
        </w:rPr>
        <w:t>。</w:t>
      </w:r>
    </w:p>
    <w:p w14:paraId="4B4F1CAC">
      <w:pPr>
        <w:pStyle w:val="4"/>
        <w:spacing w:before="204" w:after="81"/>
        <w:ind w:firstLine="0" w:firstLineChars="0"/>
      </w:pPr>
      <w:bookmarkStart w:id="75" w:name="_Toc6186"/>
      <w:bookmarkStart w:id="76" w:name="_Toc26537"/>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生态修复</w:t>
      </w:r>
      <w:bookmarkEnd w:id="75"/>
      <w:bookmarkEnd w:id="76"/>
    </w:p>
    <w:p w14:paraId="15BFDB93">
      <w:pPr>
        <w:pStyle w:val="5"/>
        <w:widowControl w:val="0"/>
        <w:numPr>
          <w:ilvl w:val="0"/>
          <w:numId w:val="15"/>
        </w:numPr>
        <w:tabs>
          <w:tab w:val="left" w:pos="420"/>
        </w:tabs>
        <w:spacing w:beforeAutospacing="1" w:line="240" w:lineRule="auto"/>
        <w:ind w:left="102" w:firstLine="602"/>
        <w:rPr>
          <w:rFonts w:hint="default" w:ascii="仿宋_GB2312" w:hAnsi="仿宋" w:cs="Times New Roman"/>
          <w:szCs w:val="30"/>
          <w:lang w:val="en-US" w:eastAsia="zh-CN"/>
        </w:rPr>
      </w:pPr>
      <w:r>
        <w:rPr>
          <w:rFonts w:hint="eastAsia" w:ascii="仿宋_GB2312" w:hAnsi="仿宋" w:cs="Times New Roman"/>
          <w:szCs w:val="30"/>
          <w:lang w:val="en-US" w:eastAsia="zh-CN"/>
        </w:rPr>
        <w:t>水生态修复</w:t>
      </w:r>
    </w:p>
    <w:p w14:paraId="57E3DD18">
      <w:pPr>
        <w:ind w:firstLine="600"/>
        <w:rPr>
          <w:rFonts w:hint="default" w:cs="Times New Roman"/>
          <w:lang w:val="en-US" w:eastAsia="zh-CN"/>
        </w:rPr>
      </w:pPr>
      <w:r>
        <w:t>规划期间，通过采取工程措施、林草措施与农业耕作措施相结合的方式防治水土流失，改善区域生态环境。</w:t>
      </w:r>
      <w:r>
        <w:rPr>
          <w:rFonts w:hint="eastAsia" w:cs="Times New Roman"/>
          <w:lang w:eastAsia="zh-CN"/>
        </w:rPr>
        <w:t>到</w:t>
      </w:r>
      <w:r>
        <w:rPr>
          <w:rFonts w:hint="eastAsia" w:cs="Times New Roman"/>
          <w:lang w:val="en-US" w:eastAsia="zh-CN"/>
        </w:rPr>
        <w:t>2035年，安排嘉陵江红花铺镇全段</w:t>
      </w:r>
      <w:r>
        <w:rPr>
          <w:rFonts w:hint="eastAsia" w:cs="Times New Roman"/>
        </w:rPr>
        <w:t>系统开展河道治理</w:t>
      </w:r>
      <w:r>
        <w:rPr>
          <w:rFonts w:hint="eastAsia" w:cs="Times New Roman"/>
          <w:lang w:eastAsia="zh-CN"/>
        </w:rPr>
        <w:t>，</w:t>
      </w:r>
      <w:r>
        <w:rPr>
          <w:rFonts w:hint="eastAsia" w:cs="Times New Roman"/>
          <w:lang w:val="en-US" w:eastAsia="zh-CN"/>
        </w:rPr>
        <w:t>湿地水资源保护和</w:t>
      </w:r>
      <w:r>
        <w:rPr>
          <w:rFonts w:hint="eastAsia" w:cs="Times New Roman"/>
        </w:rPr>
        <w:t>防洪</w:t>
      </w:r>
      <w:r>
        <w:rPr>
          <w:rFonts w:hint="eastAsia" w:cs="Times New Roman"/>
          <w:lang w:val="en-US" w:eastAsia="zh-CN"/>
        </w:rPr>
        <w:t>工程，重点</w:t>
      </w:r>
      <w:r>
        <w:rPr>
          <w:rFonts w:hint="eastAsia" w:cs="Times New Roman"/>
          <w:lang w:eastAsia="zh-CN"/>
        </w:rPr>
        <w:t>加</w:t>
      </w:r>
      <w:r>
        <w:rPr>
          <w:rFonts w:hint="eastAsia" w:cs="Times New Roman"/>
        </w:rPr>
        <w:t>强</w:t>
      </w:r>
      <w:r>
        <w:rPr>
          <w:rFonts w:hint="eastAsia" w:cs="Times New Roman"/>
          <w:lang w:eastAsia="zh-CN"/>
        </w:rPr>
        <w:t>水域</w:t>
      </w:r>
      <w:r>
        <w:rPr>
          <w:rFonts w:hint="eastAsia" w:cs="Times New Roman"/>
        </w:rPr>
        <w:t>自然恢复</w:t>
      </w:r>
      <w:r>
        <w:rPr>
          <w:rFonts w:hint="eastAsia" w:cs="Times New Roman"/>
          <w:lang w:eastAsia="zh-CN"/>
        </w:rPr>
        <w:t>和周边</w:t>
      </w:r>
      <w:r>
        <w:rPr>
          <w:rFonts w:hint="eastAsia" w:cs="Times New Roman"/>
          <w:lang w:val="en-US" w:eastAsia="zh-CN"/>
        </w:rPr>
        <w:t>水土保持能力，</w:t>
      </w:r>
      <w:r>
        <w:rPr>
          <w:rFonts w:hint="eastAsia" w:cs="Times New Roman"/>
        </w:rPr>
        <w:t>提升</w:t>
      </w:r>
      <w:r>
        <w:rPr>
          <w:rFonts w:hint="eastAsia" w:cs="Times New Roman"/>
          <w:lang w:eastAsia="zh-CN"/>
        </w:rPr>
        <w:t>区域</w:t>
      </w:r>
      <w:r>
        <w:rPr>
          <w:rFonts w:hint="eastAsia" w:cs="Times New Roman"/>
        </w:rPr>
        <w:t>生态系统生物多样性，维系河道及其周边的生态系统稳定性。</w:t>
      </w:r>
    </w:p>
    <w:p w14:paraId="614A462D">
      <w:pPr>
        <w:pStyle w:val="5"/>
        <w:widowControl w:val="0"/>
        <w:numPr>
          <w:ilvl w:val="0"/>
          <w:numId w:val="15"/>
        </w:numPr>
        <w:tabs>
          <w:tab w:val="left" w:pos="420"/>
        </w:tabs>
        <w:spacing w:beforeAutospacing="1" w:line="240" w:lineRule="auto"/>
        <w:ind w:left="102" w:firstLine="602"/>
        <w:rPr>
          <w:rFonts w:hint="default" w:ascii="仿宋_GB2312" w:hAnsi="仿宋" w:cs="Times New Roman"/>
          <w:szCs w:val="30"/>
          <w:lang w:val="en-US" w:eastAsia="zh-CN"/>
        </w:rPr>
      </w:pPr>
      <w:r>
        <w:rPr>
          <w:rFonts w:hint="eastAsia" w:ascii="仿宋_GB2312" w:hAnsi="仿宋" w:cs="Times New Roman"/>
          <w:szCs w:val="30"/>
          <w:lang w:val="en-US" w:eastAsia="zh-CN"/>
        </w:rPr>
        <w:t>矿山修复</w:t>
      </w:r>
    </w:p>
    <w:p w14:paraId="1C446F8C">
      <w:pPr>
        <w:ind w:firstLine="600"/>
        <w:sectPr>
          <w:headerReference r:id="rId22" w:type="default"/>
          <w:pgSz w:w="11906" w:h="16838"/>
          <w:pgMar w:top="1701" w:right="1418" w:bottom="1531" w:left="1701" w:header="1134" w:footer="737" w:gutter="0"/>
          <w:cols w:space="425" w:num="1"/>
          <w:docGrid w:type="lines" w:linePitch="408" w:charSpace="0"/>
        </w:sectPr>
      </w:pPr>
      <w:r>
        <w:rPr>
          <w:rFonts w:hint="eastAsia"/>
          <w:lang w:val="en-US" w:eastAsia="zh-CN"/>
        </w:rPr>
        <w:t>规划期间，落实上位规划的工矿用地修复工程，以白家店村、永生村和红花铺村为重点，</w:t>
      </w:r>
      <w:r>
        <w:rPr>
          <w:rFonts w:hint="eastAsia" w:cs="Times New Roman"/>
        </w:rPr>
        <w:t>对露采场地进行固坡、平整覆土，恢复植被绿化，对矿区损毁土地等进行生态修复，改善矿区生态环境</w:t>
      </w:r>
      <w:r>
        <w:rPr>
          <w:rFonts w:hint="eastAsia"/>
          <w:lang w:val="en-US" w:eastAsia="zh-CN"/>
        </w:rPr>
        <w:t>，</w:t>
      </w:r>
      <w:r>
        <w:rPr>
          <w:rFonts w:hint="eastAsia"/>
          <w:lang w:eastAsia="zh-CN"/>
        </w:rPr>
        <w:t>恢复提升矿区生态环境质量</w:t>
      </w:r>
      <w:r>
        <w:rPr>
          <w:rFonts w:hint="eastAsia"/>
          <w:lang w:val="en-US" w:eastAsia="zh-CN"/>
        </w:rPr>
        <w:t>和生态功能</w:t>
      </w:r>
      <w:r>
        <w:rPr>
          <w:rFonts w:hint="eastAsia"/>
          <w:lang w:eastAsia="zh-CN"/>
        </w:rPr>
        <w:t>。</w:t>
      </w:r>
      <w:r>
        <w:rPr>
          <w:rFonts w:hint="eastAsia"/>
          <w:lang w:val="en-US" w:eastAsia="zh-CN"/>
        </w:rPr>
        <w:t>到</w:t>
      </w:r>
      <w:r>
        <w:rPr>
          <w:rFonts w:hint="eastAsia" w:ascii="Times New Roman" w:hAnsi="Times New Roman" w:cs="Times New Roman"/>
          <w:szCs w:val="30"/>
          <w:highlight w:val="none"/>
          <w:lang w:val="en-US" w:eastAsia="zh-CN"/>
        </w:rPr>
        <w:t>2035</w:t>
      </w:r>
      <w:r>
        <w:rPr>
          <w:rFonts w:hint="eastAsia"/>
          <w:lang w:val="en-US" w:eastAsia="zh-CN"/>
        </w:rPr>
        <w:t>年，矿山修复面积为</w:t>
      </w:r>
      <w:r>
        <w:rPr>
          <w:rFonts w:hint="eastAsia" w:ascii="Times New Roman" w:hAnsi="Times New Roman" w:cs="Times New Roman"/>
          <w:szCs w:val="30"/>
          <w:highlight w:val="none"/>
          <w:lang w:val="en-US" w:eastAsia="zh-CN"/>
        </w:rPr>
        <w:t>3.72</w:t>
      </w:r>
      <w:r>
        <w:rPr>
          <w:rFonts w:hint="eastAsia"/>
          <w:lang w:val="en-US" w:eastAsia="zh-CN"/>
        </w:rPr>
        <w:t>公顷</w:t>
      </w:r>
      <w:r>
        <w:rPr>
          <w:rFonts w:hint="eastAsia"/>
        </w:rPr>
        <w:t>。</w:t>
      </w:r>
    </w:p>
    <w:p w14:paraId="0F2CC781">
      <w:pPr>
        <w:pStyle w:val="3"/>
        <w:spacing w:before="204" w:after="81"/>
        <w:ind w:firstLine="0" w:firstLineChars="0"/>
        <w:rPr>
          <w:rFonts w:ascii="Times New Roman" w:hAnsi="Times New Roman" w:cs="Times New Roman"/>
          <w:b/>
          <w:bCs w:val="0"/>
        </w:rPr>
      </w:pPr>
      <w:bookmarkStart w:id="77" w:name="_Toc23220"/>
      <w:bookmarkStart w:id="78" w:name="_Toc16160"/>
      <w:r>
        <w:rPr>
          <w:rFonts w:ascii="Times New Roman" w:hAnsi="Times New Roman" w:cs="Times New Roman"/>
          <w:b/>
          <w:bCs w:val="0"/>
        </w:rPr>
        <w:t>第</w:t>
      </w:r>
      <w:r>
        <w:rPr>
          <w:rFonts w:hint="eastAsia" w:ascii="Times New Roman" w:hAnsi="Times New Roman" w:cs="Times New Roman"/>
          <w:b/>
          <w:bCs w:val="0"/>
          <w:lang w:val="en-US" w:eastAsia="zh-CN"/>
        </w:rPr>
        <w:t>八</w:t>
      </w:r>
      <w:r>
        <w:rPr>
          <w:rFonts w:ascii="Times New Roman" w:hAnsi="Times New Roman" w:cs="Times New Roman"/>
          <w:b/>
          <w:bCs w:val="0"/>
        </w:rPr>
        <w:t>章 国土</w:t>
      </w:r>
      <w:r>
        <w:rPr>
          <w:rFonts w:hint="eastAsia" w:ascii="Times New Roman" w:hAnsi="Times New Roman" w:cs="Times New Roman"/>
          <w:b/>
          <w:bCs w:val="0"/>
        </w:rPr>
        <w:t>空间支撑保障体系</w:t>
      </w:r>
      <w:bookmarkEnd w:id="77"/>
      <w:bookmarkEnd w:id="78"/>
    </w:p>
    <w:p w14:paraId="2E9C1AD5">
      <w:pPr>
        <w:pStyle w:val="4"/>
        <w:spacing w:before="204" w:after="81"/>
        <w:ind w:firstLine="0" w:firstLineChars="0"/>
        <w:rPr>
          <w:rFonts w:ascii="Times New Roman" w:hAnsi="Times New Roman" w:cs="Times New Roman"/>
        </w:rPr>
      </w:pPr>
      <w:bookmarkStart w:id="79" w:name="_Toc3656"/>
      <w:bookmarkStart w:id="80" w:name="_Toc5153"/>
      <w:r>
        <w:rPr>
          <w:rFonts w:ascii="Times New Roman" w:hAnsi="Times New Roman" w:cs="Times New Roman"/>
        </w:rPr>
        <w:t>第一节 综合交通</w:t>
      </w:r>
      <w:bookmarkEnd w:id="79"/>
      <w:bookmarkEnd w:id="80"/>
    </w:p>
    <w:p w14:paraId="44E54B9B">
      <w:pPr>
        <w:pStyle w:val="5"/>
        <w:widowControl w:val="0"/>
        <w:numPr>
          <w:ilvl w:val="0"/>
          <w:numId w:val="16"/>
        </w:numPr>
        <w:tabs>
          <w:tab w:val="left" w:pos="420"/>
        </w:tabs>
        <w:spacing w:beforeAutospacing="1" w:line="240" w:lineRule="auto"/>
        <w:ind w:left="102" w:firstLine="602"/>
        <w:rPr>
          <w:rFonts w:ascii="仿宋_GB2312" w:hAnsi="仿宋" w:cs="Times New Roman"/>
          <w:szCs w:val="30"/>
        </w:rPr>
      </w:pPr>
      <w:r>
        <w:rPr>
          <w:rFonts w:hint="eastAsia" w:ascii="Times New Roman" w:hAnsi="Times New Roman" w:eastAsia="仿宋_GB2312" w:cs="Times New Roman"/>
          <w:bCs/>
          <w:sz w:val="30"/>
          <w:szCs w:val="30"/>
          <w:lang w:val="en-US" w:eastAsia="zh-CN"/>
        </w:rPr>
        <w:t>构建全域路网结构</w:t>
      </w:r>
    </w:p>
    <w:p w14:paraId="5A82E2E3">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9"/>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b/>
          <w:bCs/>
          <w:sz w:val="30"/>
          <w:szCs w:val="30"/>
          <w:highlight w:val="none"/>
          <w:lang w:eastAsia="zh-CN"/>
        </w:rPr>
        <w:t>落实相关规划重大项目布局，完善镇域路网结构。</w:t>
      </w:r>
      <w:r>
        <w:rPr>
          <w:rFonts w:hint="eastAsia" w:ascii="仿宋_GB2312" w:hAnsi="仿宋_GB2312" w:eastAsia="仿宋_GB2312" w:cs="仿宋_GB2312"/>
          <w:sz w:val="30"/>
          <w:szCs w:val="30"/>
          <w:highlight w:val="none"/>
          <w:lang w:eastAsia="zh-CN"/>
        </w:rPr>
        <w:t>充分衔接上位规划和相关专项规划，落实重大交通基础设施和干线公路布局，进一步完善农村公路网络布局。</w:t>
      </w:r>
    </w:p>
    <w:p w14:paraId="4BE7037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全镇形成“</w:t>
      </w:r>
      <w:r>
        <w:rPr>
          <w:rFonts w:hint="eastAsia" w:ascii="仿宋_GB2312" w:hAnsi="仿宋_GB2312" w:cs="仿宋_GB2312"/>
          <w:sz w:val="30"/>
          <w:szCs w:val="30"/>
          <w:highlight w:val="none"/>
          <w:lang w:val="en-US" w:eastAsia="zh-CN"/>
        </w:rPr>
        <w:t>两</w:t>
      </w:r>
      <w:r>
        <w:rPr>
          <w:rFonts w:hint="eastAsia" w:ascii="仿宋_GB2312" w:hAnsi="仿宋_GB2312" w:eastAsia="仿宋_GB2312" w:cs="仿宋_GB2312"/>
          <w:sz w:val="30"/>
          <w:szCs w:val="30"/>
          <w:highlight w:val="none"/>
          <w:lang w:val="en-US" w:eastAsia="zh-CN"/>
        </w:rPr>
        <w:t>纵一横多支”的综合交通网络。</w:t>
      </w:r>
    </w:p>
    <w:p w14:paraId="6DA91B9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两纵：宝成铁路、S219；S219是红花铺镇重要的对外交通道路，其对内贯穿红花铺镇与各行政村，对外向北通往宝鸡市，向南衔接G342国道；规划保留红花铺段宝成铁路及红花铺站点、油房沟站点。</w:t>
      </w:r>
    </w:p>
    <w:p w14:paraId="26E363A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一横：X251；落实上位规划对现状X251改建为三级公路，进一步加强红花铺镇与唐藏镇、凤县之间的联系。</w:t>
      </w:r>
    </w:p>
    <w:p w14:paraId="3197ACE9">
      <w:pPr>
        <w:ind w:firstLine="600"/>
        <w:rPr>
          <w:rFonts w:ascii="Times New Roman" w:hAnsi="Times New Roman" w:cs="Times New Roman"/>
          <w:lang w:bidi="ar"/>
        </w:rPr>
      </w:pPr>
      <w:r>
        <w:rPr>
          <w:rFonts w:hint="eastAsia" w:ascii="仿宋_GB2312" w:hAnsi="仿宋_GB2312" w:eastAsia="仿宋_GB2312" w:cs="仿宋_GB2312"/>
          <w:sz w:val="30"/>
          <w:szCs w:val="30"/>
          <w:highlight w:val="none"/>
          <w:lang w:val="en-US" w:eastAsia="zh-CN"/>
        </w:rPr>
        <w:t>多支：以村庄干路为主，呈树状分布</w:t>
      </w:r>
      <w:r>
        <w:rPr>
          <w:rFonts w:ascii="Times New Roman" w:hAnsi="Times New Roman" w:cs="Times New Roman"/>
          <w:lang w:bidi="ar"/>
        </w:rPr>
        <w:t>。</w:t>
      </w:r>
    </w:p>
    <w:p w14:paraId="59F998E5">
      <w:pPr>
        <w:pStyle w:val="5"/>
        <w:widowControl w:val="0"/>
        <w:numPr>
          <w:ilvl w:val="0"/>
          <w:numId w:val="16"/>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完善镇村道路网络</w:t>
      </w:r>
    </w:p>
    <w:p w14:paraId="2BFFBEEA">
      <w:pPr>
        <w:widowControl w:val="0"/>
        <w:spacing w:line="360" w:lineRule="auto"/>
        <w:ind w:firstLine="602"/>
        <w:jc w:val="left"/>
        <w:outlineLvl w:val="9"/>
        <w:rPr>
          <w:rFonts w:ascii="仿宋_GB2312" w:hAnsi="宋体" w:cs="仿宋_GB2312"/>
          <w:color w:val="000000"/>
          <w:kern w:val="0"/>
          <w:szCs w:val="30"/>
          <w:lang w:bidi="ar"/>
        </w:rPr>
      </w:pPr>
      <w:r>
        <w:rPr>
          <w:rFonts w:hint="eastAsia" w:ascii="仿宋_GB2312" w:hAnsi="仿宋_GB2312" w:eastAsia="仿宋_GB2312" w:cs="仿宋_GB2312"/>
          <w:b/>
          <w:bCs/>
          <w:sz w:val="30"/>
          <w:szCs w:val="30"/>
          <w:highlight w:val="none"/>
          <w:lang w:val="en-US" w:eastAsia="zh-CN"/>
        </w:rPr>
        <w:t>完善红花铺镇与各行政村路网布局，强化镇村、村村的道路连通。</w:t>
      </w:r>
      <w:r>
        <w:rPr>
          <w:rFonts w:hint="eastAsia" w:ascii="仿宋_GB2312" w:hAnsi="仿宋_GB2312" w:eastAsia="仿宋_GB2312" w:cs="仿宋_GB2312"/>
          <w:sz w:val="30"/>
          <w:szCs w:val="30"/>
          <w:highlight w:val="none"/>
          <w:lang w:val="en-US" w:eastAsia="zh-CN"/>
        </w:rPr>
        <w:t>整村规划结合镇区、行政村、产业空间等进行道路交通布局，实现镇区与各村庄20分钟可达；镇区及各行政村经S</w:t>
      </w:r>
      <w:r>
        <w:rPr>
          <w:rFonts w:hint="eastAsia" w:ascii="仿宋_GB2312" w:hAnsi="仿宋_GB2312" w:cs="仿宋_GB2312"/>
          <w:sz w:val="30"/>
          <w:szCs w:val="30"/>
          <w:highlight w:val="none"/>
          <w:lang w:val="en-US" w:eastAsia="zh-CN"/>
        </w:rPr>
        <w:t>S219</w:t>
      </w:r>
      <w:r>
        <w:rPr>
          <w:rFonts w:hint="eastAsia" w:ascii="仿宋_GB2312" w:hAnsi="仿宋_GB2312" w:eastAsia="仿宋_GB2312" w:cs="仿宋_GB2312"/>
          <w:sz w:val="30"/>
          <w:szCs w:val="30"/>
          <w:highlight w:val="none"/>
          <w:lang w:val="en-US" w:eastAsia="zh-CN"/>
        </w:rPr>
        <w:t>链接，规划改造提升道路两侧道路设施，增补照明、绿化等；自然村由6-8米的村庄干路进行紧密联系，同时规划</w:t>
      </w:r>
      <w:r>
        <w:rPr>
          <w:rFonts w:hint="eastAsia" w:ascii="仿宋_GB2312" w:hAnsi="仿宋_GB2312" w:cs="仿宋_GB2312"/>
          <w:sz w:val="30"/>
          <w:szCs w:val="30"/>
          <w:highlight w:val="none"/>
          <w:lang w:val="en-US" w:eastAsia="zh-CN"/>
        </w:rPr>
        <w:t>对</w:t>
      </w:r>
      <w:r>
        <w:rPr>
          <w:rFonts w:hint="eastAsia" w:ascii="仿宋_GB2312" w:hAnsi="仿宋_GB2312" w:eastAsia="仿宋_GB2312" w:cs="仿宋_GB2312"/>
          <w:sz w:val="30"/>
          <w:szCs w:val="30"/>
          <w:highlight w:val="none"/>
          <w:lang w:val="en-US" w:eastAsia="zh-CN"/>
        </w:rPr>
        <w:t>狭窄干路进行拓宽提升，</w:t>
      </w:r>
      <w:r>
        <w:rPr>
          <w:rFonts w:hint="eastAsia" w:ascii="仿宋_GB2312" w:hAnsi="仿宋_GB2312" w:cs="仿宋_GB2312"/>
          <w:sz w:val="30"/>
          <w:szCs w:val="30"/>
          <w:highlight w:val="none"/>
          <w:lang w:val="en-US" w:eastAsia="zh-CN"/>
        </w:rPr>
        <w:t>增强</w:t>
      </w:r>
      <w:r>
        <w:rPr>
          <w:rFonts w:hint="eastAsia" w:ascii="仿宋_GB2312" w:hAnsi="仿宋_GB2312" w:eastAsia="仿宋_GB2312" w:cs="仿宋_GB2312"/>
          <w:sz w:val="30"/>
          <w:szCs w:val="30"/>
          <w:highlight w:val="none"/>
          <w:lang w:val="en-US" w:eastAsia="zh-CN"/>
        </w:rPr>
        <w:t>各自然村之间</w:t>
      </w:r>
      <w:r>
        <w:rPr>
          <w:rFonts w:hint="eastAsia" w:ascii="仿宋_GB2312" w:hAnsi="仿宋_GB2312" w:cs="仿宋_GB2312"/>
          <w:sz w:val="30"/>
          <w:szCs w:val="30"/>
          <w:highlight w:val="none"/>
          <w:lang w:val="en-US" w:eastAsia="zh-CN"/>
        </w:rPr>
        <w:t>交通可达性</w:t>
      </w:r>
      <w:r>
        <w:rPr>
          <w:rFonts w:hint="eastAsia" w:ascii="仿宋_GB2312" w:hAnsi="仿宋_GB2312" w:eastAsia="仿宋_GB2312" w:cs="仿宋_GB2312"/>
          <w:sz w:val="30"/>
          <w:szCs w:val="30"/>
          <w:highlight w:val="none"/>
          <w:lang w:val="en-US" w:eastAsia="zh-CN"/>
        </w:rPr>
        <w:t>；支路及巷道层层延伸至干路，</w:t>
      </w:r>
      <w:r>
        <w:rPr>
          <w:rFonts w:hint="eastAsia" w:ascii="仿宋_GB2312" w:hAnsi="仿宋_GB2312" w:cs="仿宋_GB2312"/>
          <w:sz w:val="30"/>
          <w:szCs w:val="30"/>
          <w:highlight w:val="none"/>
          <w:lang w:val="en-US" w:eastAsia="zh-CN"/>
        </w:rPr>
        <w:t>打通</w:t>
      </w:r>
      <w:r>
        <w:rPr>
          <w:rFonts w:hint="eastAsia" w:ascii="仿宋_GB2312" w:hAnsi="仿宋_GB2312" w:eastAsia="仿宋_GB2312" w:cs="仿宋_GB2312"/>
          <w:sz w:val="30"/>
          <w:szCs w:val="30"/>
          <w:highlight w:val="none"/>
          <w:lang w:val="en-US" w:eastAsia="zh-CN"/>
        </w:rPr>
        <w:t>村内断头路，对村庄内未硬化道路进行硬化处理，强化村庄内部道路网骨架，实现红花铺处处通达。</w:t>
      </w:r>
    </w:p>
    <w:p w14:paraId="7FA8F560">
      <w:pPr>
        <w:pStyle w:val="5"/>
        <w:widowControl w:val="0"/>
        <w:numPr>
          <w:ilvl w:val="0"/>
          <w:numId w:val="16"/>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合理配置交通设施</w:t>
      </w:r>
    </w:p>
    <w:p w14:paraId="2D8BB187">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9"/>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规划提升公共交通服务质量，发展智能化公交服务。</w:t>
      </w:r>
      <w:r>
        <w:rPr>
          <w:rFonts w:hint="eastAsia" w:ascii="仿宋_GB2312" w:hAnsi="仿宋_GB2312" w:eastAsia="仿宋_GB2312" w:cs="仿宋_GB2312"/>
          <w:b w:val="0"/>
          <w:bCs w:val="0"/>
          <w:sz w:val="30"/>
          <w:szCs w:val="30"/>
          <w:highlight w:val="none"/>
          <w:lang w:val="en-US" w:eastAsia="zh-CN"/>
        </w:rPr>
        <w:t>现状</w:t>
      </w:r>
      <w:r>
        <w:rPr>
          <w:rFonts w:hint="eastAsia" w:ascii="仿宋_GB2312" w:hAnsi="仿宋_GB2312" w:eastAsia="仿宋_GB2312" w:cs="仿宋_GB2312"/>
          <w:sz w:val="30"/>
          <w:szCs w:val="30"/>
          <w:highlight w:val="none"/>
          <w:lang w:val="en-US" w:eastAsia="zh-CN"/>
        </w:rPr>
        <w:t>凤县-宝鸡汽车线路自北向南穿过，途径白家店站、草凉驿南站、草凉驿北站、红花铺站、永生站5处汽车停靠站点，规划对停靠站候车环境及周边环境优化完善，</w:t>
      </w:r>
      <w:r>
        <w:rPr>
          <w:rFonts w:hint="eastAsia" w:ascii="仿宋_GB2312" w:hAnsi="仿宋_GB2312" w:cs="仿宋_GB2312"/>
          <w:sz w:val="30"/>
          <w:szCs w:val="30"/>
          <w:highlight w:val="none"/>
          <w:lang w:val="en-US" w:eastAsia="zh-CN"/>
        </w:rPr>
        <w:t>通过</w:t>
      </w:r>
      <w:r>
        <w:rPr>
          <w:rFonts w:hint="eastAsia" w:ascii="仿宋_GB2312" w:hAnsi="仿宋_GB2312" w:eastAsia="仿宋_GB2312" w:cs="仿宋_GB2312"/>
          <w:sz w:val="30"/>
          <w:szCs w:val="30"/>
          <w:highlight w:val="none"/>
          <w:lang w:val="en-US" w:eastAsia="zh-CN"/>
        </w:rPr>
        <w:t>增设候车座椅，加宽候车厅顶棚，增设公共信息查询亭，安装智能公交电子站牌，实时显示公交到站信息，方便乘客掌握公交到站时间，减少乘客等待时间及运营成本。</w:t>
      </w:r>
    </w:p>
    <w:p w14:paraId="4B55F92F">
      <w:pPr>
        <w:ind w:firstLine="600"/>
        <w:jc w:val="left"/>
        <w:rPr>
          <w:rFonts w:ascii="仿宋_GB2312" w:hAnsi="宋体" w:cs="仿宋_GB2312"/>
          <w:color w:val="000000"/>
          <w:kern w:val="0"/>
          <w:szCs w:val="30"/>
          <w:lang w:bidi="ar"/>
        </w:rPr>
      </w:pPr>
      <w:r>
        <w:rPr>
          <w:rFonts w:hint="eastAsia" w:ascii="仿宋_GB2312" w:hAnsi="仿宋_GB2312" w:eastAsia="仿宋_GB2312" w:cs="仿宋_GB2312"/>
          <w:b w:val="0"/>
          <w:bCs w:val="0"/>
          <w:sz w:val="30"/>
          <w:szCs w:val="30"/>
          <w:highlight w:val="none"/>
          <w:lang w:val="en-US" w:eastAsia="zh-CN"/>
        </w:rPr>
        <w:t>规划结合各村村庄类别及产业布局结构合理布置停车场</w:t>
      </w:r>
      <w:r>
        <w:rPr>
          <w:rFonts w:hint="eastAsia" w:ascii="仿宋_GB2312" w:hAnsi="仿宋_GB2312" w:cs="仿宋_GB2312"/>
          <w:b w:val="0"/>
          <w:bCs w:val="0"/>
          <w:sz w:val="30"/>
          <w:szCs w:val="30"/>
          <w:highlight w:val="none"/>
          <w:lang w:val="en-US" w:eastAsia="zh-CN"/>
        </w:rPr>
        <w:t>和充电桩</w:t>
      </w:r>
      <w:r>
        <w:rPr>
          <w:rFonts w:hint="eastAsia" w:ascii="仿宋_GB2312" w:hAnsi="仿宋_GB2312" w:eastAsia="仿宋_GB2312" w:cs="仿宋_GB2312"/>
          <w:b w:val="0"/>
          <w:bCs w:val="0"/>
          <w:sz w:val="30"/>
          <w:szCs w:val="30"/>
          <w:highlight w:val="none"/>
          <w:lang w:val="en-US" w:eastAsia="zh-CN"/>
        </w:rPr>
        <w:t>。规划在红花铺村及永生村结合公共服务场地、旅游服务中心等新增2-3处生态停车场，满足外来车辆停放需求</w:t>
      </w:r>
      <w:r>
        <w:rPr>
          <w:rFonts w:hint="eastAsia" w:ascii="仿宋_GB2312" w:hAnsi="宋体" w:cs="仿宋_GB2312"/>
          <w:color w:val="000000"/>
          <w:kern w:val="0"/>
          <w:szCs w:val="30"/>
          <w:lang w:bidi="ar"/>
        </w:rPr>
        <w:t>。</w:t>
      </w:r>
    </w:p>
    <w:p w14:paraId="51F27CF6">
      <w:pPr>
        <w:pStyle w:val="4"/>
        <w:spacing w:before="204" w:after="81"/>
        <w:ind w:firstLine="0" w:firstLineChars="0"/>
        <w:rPr>
          <w:rFonts w:ascii="Times New Roman" w:hAnsi="Times New Roman" w:cs="Times New Roman"/>
        </w:rPr>
      </w:pPr>
      <w:bookmarkStart w:id="81" w:name="_Toc12518"/>
      <w:bookmarkStart w:id="82" w:name="_Toc12639"/>
      <w:r>
        <w:rPr>
          <w:rFonts w:ascii="Times New Roman" w:hAnsi="Times New Roman" w:cs="Times New Roman"/>
        </w:rPr>
        <w:t>第</w:t>
      </w:r>
      <w:r>
        <w:rPr>
          <w:rFonts w:hint="eastAsia" w:ascii="Times New Roman" w:hAnsi="Times New Roman" w:cs="Times New Roman"/>
        </w:rPr>
        <w:t>二</w:t>
      </w:r>
      <w:r>
        <w:rPr>
          <w:rFonts w:ascii="Times New Roman" w:hAnsi="Times New Roman" w:cs="Times New Roman"/>
        </w:rPr>
        <w:t xml:space="preserve">节 </w:t>
      </w:r>
      <w:r>
        <w:rPr>
          <w:rFonts w:hint="eastAsia" w:ascii="Times New Roman" w:hAnsi="Times New Roman" w:cs="Times New Roman"/>
        </w:rPr>
        <w:t>基础设施</w:t>
      </w:r>
      <w:bookmarkEnd w:id="81"/>
      <w:bookmarkEnd w:id="82"/>
    </w:p>
    <w:p w14:paraId="149E52B7">
      <w:pPr>
        <w:pStyle w:val="5"/>
        <w:widowControl w:val="0"/>
        <w:numPr>
          <w:ilvl w:val="0"/>
          <w:numId w:val="17"/>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给水设施规划</w:t>
      </w:r>
    </w:p>
    <w:p w14:paraId="2B15575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val="0"/>
          <w:bCs w:val="0"/>
          <w:sz w:val="30"/>
          <w:szCs w:val="30"/>
          <w:highlight w:val="none"/>
          <w:lang w:val="en-US" w:eastAsia="zh-CN"/>
        </w:rPr>
        <w:t>到2035年，红花铺镇全域供水普及率达到</w:t>
      </w:r>
      <w:r>
        <w:rPr>
          <w:rFonts w:hint="default" w:ascii="仿宋_GB2312" w:hAnsi="仿宋_GB2312" w:eastAsia="仿宋_GB2312" w:cs="仿宋_GB2312"/>
          <w:b w:val="0"/>
          <w:bCs w:val="0"/>
          <w:sz w:val="30"/>
          <w:szCs w:val="30"/>
          <w:highlight w:val="none"/>
          <w:lang w:val="en-US" w:eastAsia="zh-CN"/>
        </w:rPr>
        <w:t>100%</w:t>
      </w:r>
      <w:r>
        <w:rPr>
          <w:rFonts w:hint="eastAsia" w:ascii="仿宋_GB2312" w:hAnsi="仿宋_GB2312" w:eastAsia="仿宋_GB2312" w:cs="仿宋_GB2312"/>
          <w:b w:val="0"/>
          <w:bCs w:val="0"/>
          <w:sz w:val="30"/>
          <w:szCs w:val="30"/>
          <w:highlight w:val="none"/>
          <w:lang w:val="en-US" w:eastAsia="zh-CN"/>
        </w:rPr>
        <w:t>，红花铺镇</w:t>
      </w:r>
      <w:r>
        <w:rPr>
          <w:rFonts w:hint="eastAsia" w:ascii="仿宋_GB2312" w:hAnsi="仿宋_GB2312" w:cs="仿宋_GB2312"/>
          <w:b w:val="0"/>
          <w:bCs w:val="0"/>
          <w:sz w:val="30"/>
          <w:szCs w:val="30"/>
          <w:highlight w:val="none"/>
          <w:lang w:val="en-US" w:eastAsia="zh-CN"/>
        </w:rPr>
        <w:t>最高日用水</w:t>
      </w:r>
      <w:r>
        <w:rPr>
          <w:rFonts w:hint="eastAsia" w:ascii="仿宋_GB2312" w:hAnsi="仿宋_GB2312" w:eastAsia="仿宋_GB2312" w:cs="仿宋_GB2312"/>
          <w:b w:val="0"/>
          <w:bCs w:val="0"/>
          <w:sz w:val="30"/>
          <w:szCs w:val="30"/>
          <w:highlight w:val="none"/>
          <w:lang w:val="en-US" w:eastAsia="zh-CN"/>
        </w:rPr>
        <w:t>总量为250.88立方米</w:t>
      </w:r>
      <w:r>
        <w:rPr>
          <w:rFonts w:hint="default" w:ascii="仿宋_GB2312" w:hAnsi="仿宋_GB2312" w:eastAsia="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lang w:val="en-US" w:eastAsia="zh-CN"/>
        </w:rPr>
        <w:t>日。</w:t>
      </w:r>
    </w:p>
    <w:p w14:paraId="1ED06FD4">
      <w:pPr>
        <w:ind w:firstLine="600"/>
        <w:jc w:val="left"/>
        <w:rPr>
          <w:rFonts w:ascii="Times New Roman" w:hAnsi="Times New Roman" w:cs="Times New Roman"/>
          <w:color w:val="000000"/>
          <w:kern w:val="0"/>
          <w:szCs w:val="30"/>
          <w:lang w:bidi="ar"/>
        </w:rPr>
      </w:pPr>
      <w:r>
        <w:rPr>
          <w:rFonts w:hint="eastAsia" w:ascii="仿宋_GB2312" w:hAnsi="仿宋_GB2312" w:eastAsia="仿宋_GB2312" w:cs="仿宋_GB2312"/>
          <w:b w:val="0"/>
          <w:bCs w:val="0"/>
          <w:sz w:val="30"/>
          <w:szCs w:val="30"/>
          <w:highlight w:val="none"/>
          <w:lang w:val="en-US" w:eastAsia="zh-CN"/>
        </w:rPr>
        <w:t>规划保留红花铺镇集中供水水厂，红花铺村依托镇区采用集中供水模式，加强城镇供水水源和输配水管网建设，提升现状供水能力，形成联网供水系统。永生村、白家店村、草凉驿村继续沿用现有供水工程，水源来自地下水，少数自然村采用地表水，加大对水源地的保护制度，配备先进的检测设备，建立科学的检测工艺体系，定期对水质监测，实时掌握水质变化情况，保障居民供水安全</w:t>
      </w:r>
      <w:r>
        <w:rPr>
          <w:rFonts w:ascii="Times New Roman" w:hAnsi="Times New Roman" w:cs="Times New Roman"/>
          <w:color w:val="000000"/>
          <w:kern w:val="0"/>
          <w:szCs w:val="30"/>
          <w:lang w:bidi="ar"/>
        </w:rPr>
        <w:t>。</w:t>
      </w:r>
    </w:p>
    <w:p w14:paraId="2C2AB7ED">
      <w:pPr>
        <w:pStyle w:val="5"/>
        <w:widowControl w:val="0"/>
        <w:numPr>
          <w:ilvl w:val="0"/>
          <w:numId w:val="17"/>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排水设施规划</w:t>
      </w:r>
    </w:p>
    <w:p w14:paraId="0726252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val="0"/>
          <w:bCs w:val="0"/>
          <w:sz w:val="30"/>
          <w:szCs w:val="30"/>
          <w:highlight w:val="none"/>
          <w:lang w:val="en-US" w:eastAsia="zh-CN"/>
        </w:rPr>
        <w:t>规划镇域排水采用雨、污</w:t>
      </w:r>
      <w:r>
        <w:rPr>
          <w:rFonts w:hint="eastAsia" w:ascii="仿宋_GB2312" w:hAnsi="仿宋_GB2312" w:cs="仿宋_GB2312"/>
          <w:b w:val="0"/>
          <w:bCs w:val="0"/>
          <w:sz w:val="30"/>
          <w:szCs w:val="30"/>
          <w:highlight w:val="none"/>
          <w:lang w:val="en-US" w:eastAsia="zh-CN"/>
        </w:rPr>
        <w:t>合</w:t>
      </w:r>
      <w:r>
        <w:rPr>
          <w:rFonts w:hint="eastAsia" w:ascii="仿宋_GB2312" w:hAnsi="仿宋_GB2312" w:eastAsia="仿宋_GB2312" w:cs="仿宋_GB2312"/>
          <w:b w:val="0"/>
          <w:bCs w:val="0"/>
          <w:sz w:val="30"/>
          <w:szCs w:val="30"/>
          <w:highlight w:val="none"/>
          <w:lang w:val="en-US" w:eastAsia="zh-CN"/>
        </w:rPr>
        <w:t>流制排水体制。污水取给水量的80%计，到2035年，红花铺镇污水总量为</w:t>
      </w:r>
      <w:r>
        <w:rPr>
          <w:rFonts w:hint="eastAsia" w:ascii="仿宋_GB2312" w:hAnsi="仿宋_GB2312" w:cs="仿宋_GB2312"/>
          <w:b w:val="0"/>
          <w:bCs w:val="0"/>
          <w:sz w:val="30"/>
          <w:szCs w:val="30"/>
          <w:highlight w:val="none"/>
          <w:lang w:val="en-US" w:eastAsia="zh-CN"/>
        </w:rPr>
        <w:t>143.36</w:t>
      </w:r>
      <w:r>
        <w:rPr>
          <w:rFonts w:hint="eastAsia" w:ascii="仿宋_GB2312" w:hAnsi="仿宋_GB2312" w:eastAsia="仿宋_GB2312" w:cs="仿宋_GB2312"/>
          <w:b w:val="0"/>
          <w:bCs w:val="0"/>
          <w:sz w:val="30"/>
          <w:szCs w:val="30"/>
          <w:highlight w:val="none"/>
          <w:lang w:val="en-US" w:eastAsia="zh-CN"/>
        </w:rPr>
        <w:t>立方米</w:t>
      </w:r>
      <w:r>
        <w:rPr>
          <w:rFonts w:hint="default" w:ascii="仿宋_GB2312" w:hAnsi="仿宋_GB2312" w:eastAsia="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lang w:val="en-US" w:eastAsia="zh-CN"/>
        </w:rPr>
        <w:t>日。</w:t>
      </w:r>
    </w:p>
    <w:p w14:paraId="67CFAA93">
      <w:pPr>
        <w:ind w:firstLine="600"/>
        <w:jc w:val="left"/>
        <w:rPr>
          <w:rFonts w:ascii="仿宋_GB2312" w:hAnsi="宋体" w:cs="仿宋_GB2312"/>
          <w:color w:val="000000"/>
          <w:kern w:val="0"/>
          <w:szCs w:val="30"/>
          <w:lang w:bidi="ar"/>
        </w:rPr>
      </w:pPr>
      <w:r>
        <w:rPr>
          <w:rFonts w:hint="eastAsia" w:ascii="仿宋_GB2312" w:hAnsi="仿宋_GB2312" w:eastAsia="仿宋_GB2312" w:cs="仿宋_GB2312"/>
          <w:b w:val="0"/>
          <w:bCs w:val="0"/>
          <w:sz w:val="30"/>
          <w:szCs w:val="30"/>
          <w:highlight w:val="none"/>
          <w:lang w:val="en-US" w:eastAsia="zh-CN"/>
        </w:rPr>
        <w:t>规划在镇区新建污水处理</w:t>
      </w:r>
      <w:r>
        <w:rPr>
          <w:rFonts w:hint="eastAsia" w:ascii="仿宋_GB2312" w:hAnsi="仿宋_GB2312" w:cs="仿宋_GB2312"/>
          <w:b w:val="0"/>
          <w:bCs w:val="0"/>
          <w:sz w:val="30"/>
          <w:szCs w:val="30"/>
          <w:highlight w:val="none"/>
          <w:lang w:val="en-US" w:eastAsia="zh-CN"/>
        </w:rPr>
        <w:t>站2</w:t>
      </w:r>
      <w:r>
        <w:rPr>
          <w:rFonts w:hint="eastAsia" w:ascii="仿宋_GB2312" w:hAnsi="仿宋_GB2312" w:eastAsia="仿宋_GB2312" w:cs="仿宋_GB2312"/>
          <w:b w:val="0"/>
          <w:bCs w:val="0"/>
          <w:sz w:val="30"/>
          <w:szCs w:val="30"/>
          <w:highlight w:val="none"/>
          <w:lang w:val="en-US" w:eastAsia="zh-CN"/>
        </w:rPr>
        <w:t>处，对于距离市政污水收集干管较近，且生活污水能够有效收集的区域，通过新建污水收集管网，将农村生活污水纳入城镇污水处理</w:t>
      </w:r>
      <w:r>
        <w:rPr>
          <w:rFonts w:hint="eastAsia" w:ascii="仿宋_GB2312" w:hAnsi="仿宋_GB2312" w:cs="仿宋_GB2312"/>
          <w:b w:val="0"/>
          <w:bCs w:val="0"/>
          <w:sz w:val="30"/>
          <w:szCs w:val="30"/>
          <w:highlight w:val="none"/>
          <w:lang w:val="en-US" w:eastAsia="zh-CN"/>
        </w:rPr>
        <w:t>厂系</w:t>
      </w:r>
      <w:r>
        <w:rPr>
          <w:rFonts w:hint="eastAsia" w:ascii="仿宋_GB2312" w:hAnsi="仿宋_GB2312" w:eastAsia="仿宋_GB2312" w:cs="仿宋_GB2312"/>
          <w:b w:val="0"/>
          <w:bCs w:val="0"/>
          <w:sz w:val="30"/>
          <w:szCs w:val="30"/>
          <w:highlight w:val="none"/>
          <w:lang w:val="en-US" w:eastAsia="zh-CN"/>
        </w:rPr>
        <w:t>统处理；对于永生村、草凉驿村、白家店村居民点较为集中的片区结合实际情况因地制宜修建污水一体化处理设施，其余较为分散的居民点及散户将相邻几家农户污水按照联户的形式进行小范围收集，建设小型就地污水处理设施</w:t>
      </w:r>
      <w:r>
        <w:rPr>
          <w:rFonts w:hint="eastAsia" w:ascii="仿宋_GB2312" w:hAnsi="宋体" w:cs="仿宋_GB2312"/>
          <w:color w:val="000000"/>
          <w:kern w:val="0"/>
          <w:szCs w:val="30"/>
          <w:lang w:bidi="ar"/>
        </w:rPr>
        <w:t>。</w:t>
      </w:r>
    </w:p>
    <w:p w14:paraId="113DCDF5">
      <w:pPr>
        <w:pStyle w:val="5"/>
        <w:widowControl w:val="0"/>
        <w:numPr>
          <w:ilvl w:val="0"/>
          <w:numId w:val="17"/>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电力设施规划</w:t>
      </w:r>
    </w:p>
    <w:p w14:paraId="0DBB8C8B">
      <w:pPr>
        <w:keepNext w:val="0"/>
        <w:keepLines w:val="0"/>
        <w:widowControl/>
        <w:suppressLineNumbers w:val="0"/>
        <w:jc w:val="left"/>
        <w:rPr>
          <w:rFonts w:hint="default" w:ascii="仿宋_GB2312" w:hAnsi="仿宋_GB2312" w:eastAsia="仿宋_GB2312" w:cs="仿宋_GB2312"/>
          <w:b w:val="0"/>
          <w:bCs w:val="0"/>
          <w:sz w:val="30"/>
          <w:szCs w:val="30"/>
          <w:highlight w:val="none"/>
          <w:lang w:val="en-US" w:eastAsia="zh-CN"/>
        </w:rPr>
      </w:pPr>
      <w:r>
        <w:rPr>
          <w:rFonts w:hint="default" w:ascii="仿宋_GB2312" w:hAnsi="仿宋_GB2312" w:eastAsia="仿宋_GB2312" w:cs="仿宋_GB2312"/>
          <w:b w:val="0"/>
          <w:bCs w:val="0"/>
          <w:sz w:val="30"/>
          <w:szCs w:val="30"/>
          <w:highlight w:val="none"/>
          <w:lang w:val="en-US" w:eastAsia="zh-CN"/>
        </w:rPr>
        <w:t>优化电网结构，满足各类用电负荷增长的需要。</w:t>
      </w:r>
      <w:r>
        <w:rPr>
          <w:rFonts w:ascii="仿宋_GB2312" w:hAnsi="宋体" w:eastAsia="仿宋_GB2312" w:cs="仿宋_GB2312"/>
          <w:color w:val="000000"/>
          <w:kern w:val="0"/>
          <w:sz w:val="30"/>
          <w:szCs w:val="30"/>
          <w:lang w:val="en-US" w:eastAsia="zh-CN" w:bidi="ar"/>
        </w:rPr>
        <w:t>落实上位</w:t>
      </w:r>
      <w:r>
        <w:rPr>
          <w:rFonts w:hint="eastAsia" w:ascii="仿宋_GB2312" w:hAnsi="宋体" w:eastAsia="仿宋_GB2312" w:cs="仿宋_GB2312"/>
          <w:color w:val="000000"/>
          <w:kern w:val="0"/>
          <w:sz w:val="30"/>
          <w:szCs w:val="30"/>
          <w:lang w:val="en-US" w:eastAsia="zh-CN" w:bidi="ar"/>
        </w:rPr>
        <w:t>规划</w:t>
      </w:r>
      <w:r>
        <w:rPr>
          <w:rFonts w:hint="eastAsia" w:ascii="仿宋_GB2312" w:hAnsi="宋体" w:cs="仿宋_GB2312"/>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新建</w:t>
      </w:r>
      <w:r>
        <w:rPr>
          <w:rFonts w:hint="default" w:ascii="Times New Roman" w:hAnsi="Times New Roman" w:eastAsia="宋体" w:cs="Times New Roman"/>
          <w:color w:val="000000"/>
          <w:kern w:val="0"/>
          <w:sz w:val="30"/>
          <w:szCs w:val="30"/>
          <w:lang w:val="en-US" w:eastAsia="zh-CN" w:bidi="ar"/>
        </w:rPr>
        <w:t>1</w:t>
      </w:r>
      <w:r>
        <w:rPr>
          <w:rFonts w:hint="eastAsia" w:ascii="仿宋_GB2312" w:hAnsi="宋体" w:eastAsia="仿宋_GB2312" w:cs="仿宋_GB2312"/>
          <w:color w:val="000000"/>
          <w:kern w:val="0"/>
          <w:sz w:val="30"/>
          <w:szCs w:val="30"/>
          <w:lang w:val="en-US" w:eastAsia="zh-CN" w:bidi="ar"/>
        </w:rPr>
        <w:t>座草凉驿35</w:t>
      </w:r>
      <w:r>
        <w:rPr>
          <w:rFonts w:hint="default" w:ascii="Times New Roman" w:hAnsi="Times New Roman" w:eastAsia="宋体" w:cs="Times New Roman"/>
          <w:color w:val="000000"/>
          <w:kern w:val="0"/>
          <w:sz w:val="30"/>
          <w:szCs w:val="30"/>
          <w:lang w:val="en-US" w:eastAsia="zh-CN" w:bidi="ar"/>
        </w:rPr>
        <w:t>kV</w:t>
      </w:r>
      <w:r>
        <w:rPr>
          <w:rFonts w:hint="eastAsia" w:ascii="仿宋_GB2312" w:hAnsi="宋体" w:eastAsia="仿宋_GB2312" w:cs="仿宋_GB2312"/>
          <w:color w:val="000000"/>
          <w:kern w:val="0"/>
          <w:sz w:val="30"/>
          <w:szCs w:val="30"/>
          <w:lang w:val="en-US" w:eastAsia="zh-CN" w:bidi="ar"/>
        </w:rPr>
        <w:t>变电站。加快落实宝鸡至汉中</w:t>
      </w:r>
      <w:r>
        <w:rPr>
          <w:rFonts w:hint="default" w:ascii="Times New Roman" w:hAnsi="Times New Roman" w:eastAsia="宋体" w:cs="Times New Roman"/>
          <w:color w:val="000000"/>
          <w:kern w:val="0"/>
          <w:sz w:val="30"/>
          <w:szCs w:val="30"/>
          <w:lang w:val="en-US" w:eastAsia="zh-CN" w:bidi="ar"/>
        </w:rPr>
        <w:t>750</w:t>
      </w:r>
      <w:r>
        <w:rPr>
          <w:rFonts w:hint="eastAsia" w:ascii="仿宋_GB2312" w:hAnsi="宋体" w:eastAsia="仿宋_GB2312" w:cs="仿宋_GB2312"/>
          <w:color w:val="000000"/>
          <w:kern w:val="0"/>
          <w:sz w:val="30"/>
          <w:szCs w:val="30"/>
          <w:lang w:val="en-US" w:eastAsia="zh-CN" w:bidi="ar"/>
        </w:rPr>
        <w:t>千伏高压线过境走廊建设；规划按照国家有关法律和法规规范要求对新增草凉驿</w:t>
      </w:r>
      <w:r>
        <w:rPr>
          <w:rFonts w:hint="default" w:ascii="Times New Roman" w:hAnsi="Times New Roman" w:eastAsia="宋体" w:cs="Times New Roman"/>
          <w:color w:val="000000"/>
          <w:kern w:val="0"/>
          <w:sz w:val="30"/>
          <w:szCs w:val="30"/>
          <w:lang w:val="en-US" w:eastAsia="zh-CN" w:bidi="ar"/>
        </w:rPr>
        <w:t>35kV</w:t>
      </w:r>
      <w:r>
        <w:rPr>
          <w:rFonts w:hint="eastAsia" w:ascii="仿宋_GB2312" w:hAnsi="宋体" w:eastAsia="仿宋_GB2312" w:cs="仿宋_GB2312"/>
          <w:color w:val="000000"/>
          <w:kern w:val="0"/>
          <w:sz w:val="30"/>
          <w:szCs w:val="30"/>
          <w:lang w:val="en-US" w:eastAsia="zh-CN" w:bidi="ar"/>
        </w:rPr>
        <w:t>线路建设，向西接曙光35kV变电站，向北接黄牛110kV变电站。高压线走廊管控要求为水平距离为建筑物、树木等与高压线的最小水平距离为20-30米，垂直距离地面或建筑物顶部与高压线的最小垂直距离为15-25米。</w:t>
      </w:r>
    </w:p>
    <w:p w14:paraId="32CB21B2">
      <w:pPr>
        <w:ind w:firstLine="600"/>
        <w:jc w:val="left"/>
        <w:rPr>
          <w:rFonts w:ascii="Times New Roman" w:hAnsi="Times New Roman" w:cs="Times New Roman"/>
          <w:color w:val="000000"/>
          <w:kern w:val="0"/>
          <w:szCs w:val="30"/>
          <w:lang w:bidi="ar"/>
        </w:rPr>
      </w:pPr>
      <w:r>
        <w:rPr>
          <w:rFonts w:hint="eastAsia" w:ascii="仿宋_GB2312" w:hAnsi="仿宋_GB2312" w:eastAsia="仿宋_GB2312" w:cs="仿宋_GB2312"/>
          <w:b w:val="0"/>
          <w:bCs w:val="0"/>
          <w:sz w:val="30"/>
          <w:szCs w:val="30"/>
          <w:highlight w:val="none"/>
          <w:lang w:val="en-US" w:eastAsia="zh-CN"/>
        </w:rPr>
        <w:t>到</w:t>
      </w:r>
      <w:r>
        <w:rPr>
          <w:rFonts w:hint="default" w:ascii="仿宋_GB2312" w:hAnsi="仿宋_GB2312" w:eastAsia="仿宋_GB2312" w:cs="仿宋_GB2312"/>
          <w:b w:val="0"/>
          <w:bCs w:val="0"/>
          <w:sz w:val="30"/>
          <w:szCs w:val="30"/>
          <w:highlight w:val="none"/>
          <w:lang w:val="en-US" w:eastAsia="zh-CN"/>
        </w:rPr>
        <w:t>2035年</w:t>
      </w:r>
      <w:r>
        <w:rPr>
          <w:rFonts w:hint="eastAsia" w:ascii="仿宋_GB2312" w:hAnsi="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lang w:val="en-US" w:eastAsia="zh-CN"/>
        </w:rPr>
        <w:t>红花铺镇</w:t>
      </w:r>
      <w:r>
        <w:rPr>
          <w:rFonts w:hint="default" w:ascii="仿宋_GB2312" w:hAnsi="仿宋_GB2312" w:eastAsia="仿宋_GB2312" w:cs="仿宋_GB2312"/>
          <w:b w:val="0"/>
          <w:bCs w:val="0"/>
          <w:sz w:val="30"/>
          <w:szCs w:val="30"/>
          <w:highlight w:val="none"/>
          <w:lang w:val="en-US" w:eastAsia="zh-CN"/>
        </w:rPr>
        <w:t>用电量为</w:t>
      </w:r>
      <w:r>
        <w:rPr>
          <w:rFonts w:hint="eastAsia" w:ascii="仿宋_GB2312" w:hAnsi="仿宋_GB2312" w:eastAsia="仿宋_GB2312" w:cs="仿宋_GB2312"/>
          <w:b w:val="0"/>
          <w:bCs w:val="0"/>
          <w:sz w:val="30"/>
          <w:szCs w:val="30"/>
          <w:highlight w:val="none"/>
          <w:lang w:val="en-US" w:eastAsia="zh-CN"/>
        </w:rPr>
        <w:t>1075.2兆瓦时</w:t>
      </w:r>
      <w:r>
        <w:rPr>
          <w:rFonts w:hint="eastAsia" w:ascii="仿宋_GB2312" w:hAnsi="仿宋_GB2312" w:cs="仿宋_GB2312"/>
          <w:b w:val="0"/>
          <w:bCs w:val="0"/>
          <w:sz w:val="30"/>
          <w:szCs w:val="30"/>
          <w:highlight w:val="none"/>
          <w:lang w:val="en-US" w:eastAsia="zh-CN"/>
        </w:rPr>
        <w:t>/</w:t>
      </w:r>
      <w:r>
        <w:rPr>
          <w:rFonts w:hint="eastAsia" w:ascii="Times New Roman" w:hAnsi="Times New Roman" w:eastAsia="仿宋_GB2312"/>
          <w:sz w:val="30"/>
          <w:szCs w:val="30"/>
          <w:lang w:val="en-US" w:eastAsia="zh-CN"/>
        </w:rPr>
        <w:t>人·a</w:t>
      </w:r>
      <w:r>
        <w:rPr>
          <w:rFonts w:hint="default" w:ascii="仿宋_GB2312" w:hAnsi="仿宋_GB2312" w:eastAsia="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lang w:val="en-US" w:eastAsia="zh-CN"/>
        </w:rPr>
        <w:t>镇域</w:t>
      </w:r>
      <w:r>
        <w:rPr>
          <w:rFonts w:hint="default" w:ascii="仿宋_GB2312" w:hAnsi="仿宋_GB2312" w:eastAsia="仿宋_GB2312" w:cs="仿宋_GB2312"/>
          <w:b w:val="0"/>
          <w:bCs w:val="0"/>
          <w:sz w:val="30"/>
          <w:szCs w:val="30"/>
          <w:highlight w:val="none"/>
          <w:lang w:val="en-US" w:eastAsia="zh-CN"/>
        </w:rPr>
        <w:t>10</w:t>
      </w:r>
      <w:r>
        <w:rPr>
          <w:rFonts w:hint="eastAsia" w:ascii="仿宋_GB2312" w:hAnsi="仿宋_GB2312" w:eastAsia="仿宋_GB2312" w:cs="仿宋_GB2312"/>
          <w:b w:val="0"/>
          <w:bCs w:val="0"/>
          <w:sz w:val="30"/>
          <w:szCs w:val="30"/>
          <w:highlight w:val="none"/>
          <w:lang w:val="en-US" w:eastAsia="zh-CN"/>
        </w:rPr>
        <w:t>千伏配电网采用环状网和枝状网相结合的布置形式，以保证供电安全可靠性，并依据电力负荷分布情况合理布置开闭所及变压器</w:t>
      </w:r>
      <w:r>
        <w:rPr>
          <w:rFonts w:ascii="Times New Roman" w:hAnsi="Times New Roman" w:cs="Times New Roman"/>
          <w:color w:val="000000"/>
          <w:kern w:val="0"/>
          <w:szCs w:val="30"/>
          <w:lang w:bidi="ar"/>
        </w:rPr>
        <w:t>。</w:t>
      </w:r>
    </w:p>
    <w:p w14:paraId="7A62830B">
      <w:pPr>
        <w:pStyle w:val="5"/>
        <w:widowControl w:val="0"/>
        <w:numPr>
          <w:ilvl w:val="0"/>
          <w:numId w:val="17"/>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通信设施规划</w:t>
      </w:r>
    </w:p>
    <w:p w14:paraId="2B6368D1">
      <w:pPr>
        <w:ind w:firstLine="600"/>
        <w:jc w:val="left"/>
        <w:rPr>
          <w:rFonts w:ascii="仿宋_GB2312" w:hAnsi="宋体" w:cs="仿宋_GB2312"/>
          <w:color w:val="000000"/>
          <w:kern w:val="0"/>
          <w:szCs w:val="30"/>
          <w:lang w:bidi="ar"/>
        </w:rPr>
      </w:pPr>
      <w:r>
        <w:rPr>
          <w:rFonts w:hint="default" w:ascii="仿宋_GB2312" w:hAnsi="仿宋_GB2312" w:eastAsia="仿宋_GB2312" w:cs="仿宋_GB2312"/>
          <w:b w:val="0"/>
          <w:bCs w:val="0"/>
          <w:sz w:val="30"/>
          <w:szCs w:val="30"/>
          <w:highlight w:val="none"/>
          <w:lang w:val="en-US" w:eastAsia="zh-CN"/>
        </w:rPr>
        <w:t>建立现代通信基础设施。加快推进5G基础设施建设，进一步提高传输带宽，保证传输质量，加快“三网合一”步伐，建设灵活、可靠、便捷的宽带多媒体信息平台、形成交互式网络社会构架。</w:t>
      </w:r>
      <w:r>
        <w:rPr>
          <w:rFonts w:hint="eastAsia" w:ascii="仿宋_GB2312" w:hAnsi="仿宋_GB2312" w:eastAsia="仿宋_GB2312" w:cs="仿宋_GB2312"/>
          <w:b w:val="0"/>
          <w:bCs w:val="0"/>
          <w:sz w:val="30"/>
          <w:szCs w:val="30"/>
          <w:highlight w:val="none"/>
          <w:lang w:val="en-US" w:eastAsia="zh-CN"/>
        </w:rPr>
        <w:t>到</w:t>
      </w:r>
      <w:r>
        <w:rPr>
          <w:rFonts w:hint="default" w:ascii="仿宋_GB2312" w:hAnsi="仿宋_GB2312" w:eastAsia="仿宋_GB2312" w:cs="仿宋_GB2312"/>
          <w:b w:val="0"/>
          <w:bCs w:val="0"/>
          <w:sz w:val="30"/>
          <w:szCs w:val="30"/>
          <w:highlight w:val="none"/>
          <w:lang w:val="en-US" w:eastAsia="zh-CN"/>
        </w:rPr>
        <w:t>2035年，</w:t>
      </w:r>
      <w:r>
        <w:rPr>
          <w:rFonts w:hint="eastAsia" w:ascii="仿宋_GB2312" w:hAnsi="仿宋_GB2312" w:eastAsia="仿宋_GB2312" w:cs="仿宋_GB2312"/>
          <w:b w:val="0"/>
          <w:bCs w:val="0"/>
          <w:sz w:val="30"/>
          <w:szCs w:val="30"/>
          <w:highlight w:val="none"/>
          <w:lang w:val="en-US" w:eastAsia="zh-CN"/>
        </w:rPr>
        <w:t>红花铺镇</w:t>
      </w:r>
      <w:r>
        <w:rPr>
          <w:rFonts w:hint="default" w:ascii="仿宋_GB2312" w:hAnsi="仿宋_GB2312" w:eastAsia="仿宋_GB2312" w:cs="仿宋_GB2312"/>
          <w:b w:val="0"/>
          <w:bCs w:val="0"/>
          <w:sz w:val="30"/>
          <w:szCs w:val="30"/>
          <w:highlight w:val="none"/>
          <w:lang w:val="en-US" w:eastAsia="zh-CN"/>
        </w:rPr>
        <w:t>的光纤接入率达到95%。</w:t>
      </w:r>
      <w:r>
        <w:rPr>
          <w:rFonts w:hint="eastAsia" w:ascii="仿宋_GB2312" w:hAnsi="仿宋_GB2312" w:eastAsia="仿宋_GB2312" w:cs="仿宋_GB2312"/>
          <w:b w:val="0"/>
          <w:bCs w:val="0"/>
          <w:sz w:val="30"/>
          <w:szCs w:val="30"/>
          <w:highlight w:val="none"/>
          <w:lang w:val="en-US" w:eastAsia="zh-CN"/>
        </w:rPr>
        <w:t>规划保留镇区现状邮政支局，在</w:t>
      </w:r>
      <w:r>
        <w:rPr>
          <w:rFonts w:hint="eastAsia" w:ascii="仿宋_GB2312" w:hAnsi="仿宋_GB2312" w:cs="仿宋_GB2312"/>
          <w:b w:val="0"/>
          <w:bCs w:val="0"/>
          <w:sz w:val="30"/>
          <w:szCs w:val="30"/>
          <w:highlight w:val="none"/>
          <w:lang w:val="en-US" w:eastAsia="zh-CN"/>
        </w:rPr>
        <w:t>永生村、草凉驿村、白家店村</w:t>
      </w:r>
      <w:r>
        <w:rPr>
          <w:rFonts w:hint="eastAsia" w:ascii="仿宋_GB2312" w:hAnsi="仿宋_GB2312" w:eastAsia="仿宋_GB2312" w:cs="仿宋_GB2312"/>
          <w:b w:val="0"/>
          <w:bCs w:val="0"/>
          <w:sz w:val="30"/>
          <w:szCs w:val="30"/>
          <w:highlight w:val="none"/>
          <w:lang w:val="en-US" w:eastAsia="zh-CN"/>
        </w:rPr>
        <w:t>结合村委会或</w:t>
      </w:r>
      <w:r>
        <w:rPr>
          <w:rFonts w:hint="eastAsia" w:ascii="仿宋_GB2312" w:hAnsi="仿宋_GB2312" w:cs="仿宋_GB2312"/>
          <w:b w:val="0"/>
          <w:bCs w:val="0"/>
          <w:sz w:val="30"/>
          <w:szCs w:val="30"/>
          <w:highlight w:val="none"/>
          <w:lang w:val="en-US" w:eastAsia="zh-CN"/>
        </w:rPr>
        <w:t>村内公服设施</w:t>
      </w:r>
      <w:r>
        <w:rPr>
          <w:rFonts w:hint="eastAsia" w:ascii="仿宋_GB2312" w:hAnsi="仿宋_GB2312" w:eastAsia="仿宋_GB2312" w:cs="仿宋_GB2312"/>
          <w:b w:val="0"/>
          <w:bCs w:val="0"/>
          <w:sz w:val="30"/>
          <w:szCs w:val="30"/>
          <w:highlight w:val="none"/>
          <w:lang w:val="en-US" w:eastAsia="zh-CN"/>
        </w:rPr>
        <w:t>设置电商物流服务点，实现村村通邮，加快电子商务、农村淘宝、网络代销等服务</w:t>
      </w:r>
      <w:r>
        <w:rPr>
          <w:rFonts w:hint="eastAsia" w:ascii="仿宋_GB2312" w:hAnsi="宋体" w:cs="仿宋_GB2312"/>
          <w:color w:val="000000"/>
          <w:kern w:val="0"/>
          <w:szCs w:val="30"/>
          <w:lang w:bidi="ar"/>
        </w:rPr>
        <w:t>。</w:t>
      </w:r>
    </w:p>
    <w:p w14:paraId="022EA6C5">
      <w:pPr>
        <w:pStyle w:val="5"/>
        <w:widowControl w:val="0"/>
        <w:numPr>
          <w:ilvl w:val="0"/>
          <w:numId w:val="17"/>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供热工程规划</w:t>
      </w:r>
    </w:p>
    <w:p w14:paraId="18E0893C">
      <w:pPr>
        <w:ind w:firstLine="600"/>
        <w:jc w:val="left"/>
        <w:rPr>
          <w:rFonts w:ascii="仿宋_GB2312" w:hAnsi="宋体" w:cs="仿宋_GB2312"/>
          <w:color w:val="000000"/>
          <w:kern w:val="0"/>
          <w:szCs w:val="30"/>
          <w:lang w:bidi="ar"/>
        </w:rPr>
      </w:pPr>
      <w:r>
        <w:rPr>
          <w:rFonts w:hint="default" w:ascii="仿宋_GB2312" w:hAnsi="仿宋_GB2312" w:eastAsia="仿宋_GB2312" w:cs="仿宋_GB2312"/>
          <w:b w:val="0"/>
          <w:bCs w:val="0"/>
          <w:sz w:val="30"/>
          <w:szCs w:val="30"/>
          <w:highlight w:val="none"/>
          <w:lang w:val="en-US" w:eastAsia="zh-CN"/>
        </w:rPr>
        <w:t>镇区建议采用空气源热泵蓄热供暖方式供热。乡村地区主要以太阳能、电暖器为取暖方式，较为集中的乡村居民点处可联户建设空气源热泵蓄热设施进行供暖</w:t>
      </w:r>
      <w:r>
        <w:rPr>
          <w:rFonts w:ascii="仿宋_GB2312" w:hAnsi="宋体" w:cs="仿宋_GB2312"/>
          <w:color w:val="000000"/>
          <w:kern w:val="0"/>
          <w:szCs w:val="30"/>
          <w:lang w:bidi="ar"/>
        </w:rPr>
        <w:t>。</w:t>
      </w:r>
    </w:p>
    <w:p w14:paraId="1A1AB0F0">
      <w:pPr>
        <w:pStyle w:val="5"/>
        <w:widowControl w:val="0"/>
        <w:numPr>
          <w:ilvl w:val="0"/>
          <w:numId w:val="17"/>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燃气工程规划</w:t>
      </w:r>
    </w:p>
    <w:p w14:paraId="557C47D4">
      <w:pPr>
        <w:ind w:firstLine="600"/>
        <w:jc w:val="left"/>
        <w:rPr>
          <w:rFonts w:ascii="仿宋_GB2312" w:hAnsi="宋体" w:cs="仿宋_GB2312"/>
          <w:color w:val="000000"/>
          <w:kern w:val="0"/>
          <w:szCs w:val="30"/>
          <w:lang w:bidi="ar"/>
        </w:rPr>
      </w:pPr>
      <w:r>
        <w:rPr>
          <w:rFonts w:hint="eastAsia" w:ascii="仿宋_GB2312" w:hAnsi="仿宋_GB2312" w:eastAsia="仿宋_GB2312" w:cs="仿宋_GB2312"/>
          <w:b w:val="0"/>
          <w:bCs w:val="0"/>
          <w:sz w:val="30"/>
          <w:szCs w:val="30"/>
          <w:highlight w:val="none"/>
          <w:lang w:val="en-US" w:eastAsia="zh-CN"/>
        </w:rPr>
        <w:t>规划逐步推广太阳能</w:t>
      </w:r>
      <w:r>
        <w:rPr>
          <w:rFonts w:hint="eastAsia" w:ascii="仿宋_GB2312" w:hAnsi="仿宋_GB2312" w:cs="仿宋_GB2312"/>
          <w:b w:val="0"/>
          <w:bCs w:val="0"/>
          <w:sz w:val="30"/>
          <w:szCs w:val="30"/>
          <w:highlight w:val="none"/>
          <w:lang w:val="en-US" w:eastAsia="zh-CN"/>
        </w:rPr>
        <w:t>、生物质能和沼气</w:t>
      </w:r>
      <w:r>
        <w:rPr>
          <w:rFonts w:hint="eastAsia" w:ascii="仿宋_GB2312" w:hAnsi="仿宋_GB2312" w:eastAsia="仿宋_GB2312" w:cs="仿宋_GB2312"/>
          <w:b w:val="0"/>
          <w:bCs w:val="0"/>
          <w:sz w:val="30"/>
          <w:szCs w:val="30"/>
          <w:highlight w:val="none"/>
          <w:lang w:val="en-US" w:eastAsia="zh-CN"/>
        </w:rPr>
        <w:t>等清洁能源入镇入村。到2035年，红花铺镇全部以清洁能源逐渐取代煤气、煤炭，满足村民的生活和生产需求</w:t>
      </w:r>
      <w:r>
        <w:rPr>
          <w:rFonts w:hint="eastAsia" w:ascii="仿宋_GB2312" w:hAnsi="宋体" w:cs="仿宋_GB2312"/>
          <w:color w:val="000000"/>
          <w:kern w:val="0"/>
          <w:szCs w:val="30"/>
          <w:lang w:bidi="ar"/>
        </w:rPr>
        <w:t>。</w:t>
      </w:r>
    </w:p>
    <w:p w14:paraId="095C8B80">
      <w:pPr>
        <w:pStyle w:val="5"/>
        <w:widowControl w:val="0"/>
        <w:numPr>
          <w:ilvl w:val="0"/>
          <w:numId w:val="17"/>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环卫工程规划</w:t>
      </w:r>
    </w:p>
    <w:p w14:paraId="2DF901CF">
      <w:pPr>
        <w:widowControl w:val="0"/>
        <w:spacing w:line="360" w:lineRule="auto"/>
        <w:ind w:firstLine="600"/>
        <w:jc w:val="left"/>
        <w:outlineLvl w:val="9"/>
        <w:rPr>
          <w:rFonts w:ascii="Times New Roman" w:hAnsi="Times New Roman" w:cs="Times New Roman"/>
          <w:color w:val="000000"/>
          <w:kern w:val="0"/>
          <w:szCs w:val="30"/>
          <w:lang w:bidi="ar"/>
        </w:rPr>
      </w:pPr>
      <w:r>
        <w:rPr>
          <w:rFonts w:hint="eastAsia" w:ascii="仿宋_GB2312" w:hAnsi="仿宋_GB2312" w:eastAsia="仿宋_GB2312" w:cs="仿宋_GB2312"/>
          <w:b w:val="0"/>
          <w:bCs w:val="0"/>
          <w:sz w:val="30"/>
          <w:szCs w:val="30"/>
          <w:highlight w:val="none"/>
          <w:lang w:val="en-US" w:eastAsia="zh-CN"/>
        </w:rPr>
        <w:t>建立健全“县处理、镇转运、村收集、户分类”的垃圾收运体系。规划在镇区规划生活垃圾压缩中转站1处，转运至黄牛铺镇生活垃圾处理设施。在各行政村按照每组</w:t>
      </w:r>
      <w:r>
        <w:rPr>
          <w:rFonts w:hint="default" w:ascii="仿宋_GB2312" w:hAnsi="仿宋_GB2312" w:eastAsia="仿宋_GB2312" w:cs="仿宋_GB2312"/>
          <w:b w:val="0"/>
          <w:bCs w:val="0"/>
          <w:sz w:val="30"/>
          <w:szCs w:val="30"/>
          <w:highlight w:val="none"/>
          <w:lang w:val="en-US" w:eastAsia="zh-CN"/>
        </w:rPr>
        <w:t>1-2</w:t>
      </w:r>
      <w:r>
        <w:rPr>
          <w:rFonts w:hint="eastAsia" w:ascii="仿宋_GB2312" w:hAnsi="仿宋_GB2312" w:eastAsia="仿宋_GB2312" w:cs="仿宋_GB2312"/>
          <w:b w:val="0"/>
          <w:bCs w:val="0"/>
          <w:sz w:val="30"/>
          <w:szCs w:val="30"/>
          <w:highlight w:val="none"/>
          <w:lang w:val="en-US" w:eastAsia="zh-CN"/>
        </w:rPr>
        <w:t>个投放分类式垃圾箱，由专职人员统一将垃圾转运至红花铺镇规划生活垃圾转运站。在各村结合广场</w:t>
      </w:r>
      <w:r>
        <w:rPr>
          <w:rFonts w:hint="eastAsia" w:ascii="仿宋_GB2312" w:hAnsi="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lang w:val="en-US" w:eastAsia="zh-CN"/>
        </w:rPr>
        <w:t>村委会等公共场地设置无害化卫生公厕</w:t>
      </w:r>
      <w:r>
        <w:rPr>
          <w:rFonts w:ascii="Times New Roman" w:hAnsi="Times New Roman" w:cs="Times New Roman"/>
          <w:color w:val="000000"/>
          <w:kern w:val="0"/>
          <w:szCs w:val="30"/>
          <w:lang w:bidi="ar"/>
        </w:rPr>
        <w:t>。</w:t>
      </w:r>
      <w:r>
        <w:rPr>
          <w:rFonts w:hint="eastAsia" w:ascii="仿宋_GB2312" w:hAnsi="仿宋_GB2312" w:eastAsia="仿宋_GB2312" w:cs="仿宋_GB2312"/>
          <w:b w:val="0"/>
          <w:bCs w:val="0"/>
          <w:sz w:val="30"/>
          <w:szCs w:val="30"/>
          <w:highlight w:val="none"/>
          <w:lang w:val="en-US" w:eastAsia="zh-CN"/>
        </w:rPr>
        <w:t>到2035年，红花铺镇全域垃圾清运率达到100%，生活垃圾</w:t>
      </w:r>
      <w:r>
        <w:rPr>
          <w:rFonts w:hint="eastAsia" w:ascii="仿宋_GB2312" w:hAnsi="仿宋_GB2312" w:cs="仿宋_GB2312"/>
          <w:b w:val="0"/>
          <w:bCs w:val="0"/>
          <w:sz w:val="30"/>
          <w:szCs w:val="30"/>
          <w:highlight w:val="none"/>
          <w:lang w:val="en-US" w:eastAsia="zh-CN"/>
        </w:rPr>
        <w:t>日产量</w:t>
      </w:r>
      <w:r>
        <w:rPr>
          <w:rFonts w:hint="eastAsia" w:ascii="仿宋_GB2312" w:hAnsi="仿宋_GB2312" w:eastAsia="仿宋_GB2312" w:cs="仿宋_GB2312"/>
          <w:b w:val="0"/>
          <w:bCs w:val="0"/>
          <w:sz w:val="30"/>
          <w:szCs w:val="30"/>
          <w:highlight w:val="none"/>
          <w:lang w:val="en-US" w:eastAsia="zh-CN"/>
        </w:rPr>
        <w:t>约为2150.4千克。</w:t>
      </w:r>
    </w:p>
    <w:p w14:paraId="6DCC2177">
      <w:pPr>
        <w:pStyle w:val="4"/>
        <w:spacing w:before="204" w:after="81"/>
        <w:ind w:firstLine="0" w:firstLineChars="0"/>
        <w:rPr>
          <w:rFonts w:ascii="Times New Roman" w:hAnsi="Times New Roman" w:cs="Times New Roman"/>
        </w:rPr>
      </w:pPr>
      <w:bookmarkStart w:id="83" w:name="_Toc17471"/>
      <w:bookmarkStart w:id="84" w:name="_Toc14726"/>
      <w:r>
        <w:rPr>
          <w:rFonts w:ascii="Times New Roman" w:hAnsi="Times New Roman" w:cs="Times New Roman"/>
        </w:rPr>
        <w:t>第</w:t>
      </w:r>
      <w:r>
        <w:rPr>
          <w:rFonts w:hint="eastAsia" w:ascii="Times New Roman" w:hAnsi="Times New Roman" w:cs="Times New Roman"/>
        </w:rPr>
        <w:t>三</w:t>
      </w:r>
      <w:r>
        <w:rPr>
          <w:rFonts w:ascii="Times New Roman" w:hAnsi="Times New Roman" w:cs="Times New Roman"/>
        </w:rPr>
        <w:t xml:space="preserve">节 </w:t>
      </w:r>
      <w:r>
        <w:rPr>
          <w:rFonts w:hint="eastAsia" w:ascii="Times New Roman" w:hAnsi="Times New Roman" w:cs="Times New Roman"/>
        </w:rPr>
        <w:t>公共服务设施</w:t>
      </w:r>
      <w:bookmarkEnd w:id="83"/>
      <w:bookmarkEnd w:id="84"/>
    </w:p>
    <w:p w14:paraId="20D43CE0">
      <w:pPr>
        <w:pStyle w:val="5"/>
        <w:widowControl w:val="0"/>
        <w:numPr>
          <w:ilvl w:val="0"/>
          <w:numId w:val="18"/>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构建多元化城乡生活圈</w:t>
      </w:r>
    </w:p>
    <w:p w14:paraId="36ED3CED">
      <w:pPr>
        <w:ind w:firstLine="600"/>
        <w:jc w:val="left"/>
        <w:rPr>
          <w:rFonts w:ascii="Times New Roman" w:hAnsi="Times New Roman" w:cs="Times New Roman"/>
        </w:rPr>
      </w:pPr>
      <w:r>
        <w:rPr>
          <w:rFonts w:hint="eastAsia" w:ascii="仿宋_GB2312" w:hAnsi="仿宋_GB2312" w:eastAsia="仿宋_GB2312" w:cs="仿宋_GB2312"/>
          <w:b w:val="0"/>
          <w:bCs w:val="0"/>
          <w:sz w:val="30"/>
          <w:szCs w:val="30"/>
          <w:highlight w:val="none"/>
          <w:lang w:val="en-US" w:eastAsia="zh-CN"/>
        </w:rPr>
        <w:t>构建以</w:t>
      </w:r>
      <w:r>
        <w:rPr>
          <w:rFonts w:hint="eastAsia" w:ascii="仿宋_GB2312" w:hAnsi="仿宋_GB2312" w:cs="仿宋_GB2312"/>
          <w:b w:val="0"/>
          <w:bCs w:val="0"/>
          <w:sz w:val="30"/>
          <w:szCs w:val="30"/>
          <w:highlight w:val="none"/>
          <w:lang w:val="en-US" w:eastAsia="zh-CN"/>
        </w:rPr>
        <w:t>城镇</w:t>
      </w:r>
      <w:r>
        <w:rPr>
          <w:rFonts w:hint="eastAsia" w:ascii="仿宋_GB2312" w:hAnsi="仿宋_GB2312" w:eastAsia="仿宋_GB2312" w:cs="仿宋_GB2312"/>
          <w:b w:val="0"/>
          <w:bCs w:val="0"/>
          <w:sz w:val="30"/>
          <w:szCs w:val="30"/>
          <w:highlight w:val="none"/>
          <w:lang w:val="en-US" w:eastAsia="zh-CN"/>
        </w:rPr>
        <w:t>社区生活圈为主、乡村社区生活圈为辅的综合层级公共服务设施体系。由镇区及红花铺村共同构建城镇社区生活圈；永生村、草凉驿村、白家店村以村委会为中心，构建乡村社区生活圈。通过完善镇区及各行政村行政管理、文化教育、医疗卫生、体育健身、社会福利、商业服务设施等公共服务体系，提高服务质量，保障红花铺镇国土空间全域范围内公共设施全覆盖，建设一个宜居、宜业、宜游的多元化城乡生活圈，提高居民的生活质量和幸福感</w:t>
      </w:r>
      <w:r>
        <w:rPr>
          <w:rFonts w:ascii="Times New Roman" w:hAnsi="Times New Roman" w:cs="Times New Roman"/>
          <w:color w:val="000000"/>
          <w:kern w:val="0"/>
          <w:szCs w:val="30"/>
          <w:lang w:bidi="ar"/>
        </w:rPr>
        <w:t>。</w:t>
      </w:r>
    </w:p>
    <w:p w14:paraId="0584474D">
      <w:pPr>
        <w:pStyle w:val="5"/>
        <w:widowControl w:val="0"/>
        <w:numPr>
          <w:ilvl w:val="0"/>
          <w:numId w:val="18"/>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统筹配置各类公共设施</w:t>
      </w:r>
    </w:p>
    <w:p w14:paraId="59594DC2">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9"/>
        <w:rPr>
          <w:rFonts w:hint="default"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行政管理设施。</w:t>
      </w:r>
      <w:r>
        <w:rPr>
          <w:rFonts w:hint="eastAsia" w:ascii="仿宋_GB2312" w:hAnsi="仿宋_GB2312" w:eastAsia="仿宋_GB2312" w:cs="仿宋_GB2312"/>
          <w:b w:val="0"/>
          <w:bCs w:val="0"/>
          <w:sz w:val="30"/>
          <w:szCs w:val="30"/>
          <w:highlight w:val="none"/>
          <w:lang w:val="en-US" w:eastAsia="zh-CN"/>
        </w:rPr>
        <w:t>镇区保留镇政府及红花铺村村委会，其他服务设施结合镇政府综合布置；永生村、草凉驿村、白家店村对现状村委会改造提升，配备文化娱乐、警务室、图书室、物资储备室等各项功能，为村民日常生产生活提供全面帮助。</w:t>
      </w:r>
    </w:p>
    <w:p w14:paraId="66E41422">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9"/>
        <w:rPr>
          <w:rFonts w:hint="eastAsia" w:ascii="仿宋_GB2312" w:hAnsi="仿宋_GB2312" w:eastAsia="仿宋_GB2312" w:cs="仿宋_GB2312"/>
          <w:b w:val="0"/>
          <w:bCs w:val="0"/>
          <w:sz w:val="30"/>
          <w:szCs w:val="30"/>
          <w:highlight w:val="yellow"/>
          <w:lang w:val="en-US" w:eastAsia="zh-CN"/>
        </w:rPr>
      </w:pPr>
      <w:r>
        <w:rPr>
          <w:rFonts w:hint="eastAsia" w:ascii="仿宋_GB2312" w:hAnsi="仿宋_GB2312" w:eastAsia="仿宋_GB2312" w:cs="仿宋_GB2312"/>
          <w:b/>
          <w:bCs/>
          <w:sz w:val="30"/>
          <w:szCs w:val="30"/>
          <w:highlight w:val="none"/>
          <w:lang w:val="en-US" w:eastAsia="zh-CN"/>
        </w:rPr>
        <w:t>文化教育设施。</w:t>
      </w:r>
      <w:r>
        <w:rPr>
          <w:rFonts w:hint="eastAsia" w:ascii="仿宋_GB2312" w:hAnsi="仿宋_GB2312" w:eastAsia="仿宋_GB2312" w:cs="仿宋_GB2312"/>
          <w:b w:val="0"/>
          <w:bCs w:val="0"/>
          <w:sz w:val="30"/>
          <w:szCs w:val="30"/>
          <w:highlight w:val="none"/>
          <w:lang w:val="en-US" w:eastAsia="zh-CN"/>
        </w:rPr>
        <w:t>规划镇区层级设置文化活动设施1处，加强科普和知识宣传教育、科技与艺术等活动设施；规划在各行政村设置社区综合文化活动中心1处，包含文化室、青少年及老年活动室、</w:t>
      </w:r>
      <w:r>
        <w:rPr>
          <w:rFonts w:hint="eastAsia" w:ascii="仿宋_GB2312" w:hAnsi="仿宋_GB2312" w:cs="仿宋_GB2312"/>
          <w:b w:val="0"/>
          <w:bCs w:val="0"/>
          <w:sz w:val="30"/>
          <w:szCs w:val="30"/>
          <w:highlight w:val="none"/>
          <w:lang w:val="en-US" w:eastAsia="zh-CN"/>
        </w:rPr>
        <w:t>农家书屋</w:t>
      </w:r>
      <w:r>
        <w:rPr>
          <w:rFonts w:hint="eastAsia" w:ascii="仿宋_GB2312" w:hAnsi="仿宋_GB2312" w:eastAsia="仿宋_GB2312" w:cs="仿宋_GB2312"/>
          <w:b w:val="0"/>
          <w:bCs w:val="0"/>
          <w:sz w:val="30"/>
          <w:szCs w:val="30"/>
          <w:highlight w:val="none"/>
          <w:lang w:val="en-US" w:eastAsia="zh-CN"/>
        </w:rPr>
        <w:t>，满足乡村文化知识科普、文化活动等文化设施的需要。规划保留现状红花铺镇幼儿园、小学2所学校，结合现状教育设施布局，完善和提升现有的学校，规划期内增加教学设备和健身器材。</w:t>
      </w:r>
    </w:p>
    <w:p w14:paraId="512AF39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9"/>
        <w:rPr>
          <w:rFonts w:hint="eastAsia"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医疗卫生设施。</w:t>
      </w:r>
      <w:r>
        <w:rPr>
          <w:rFonts w:hint="eastAsia" w:ascii="仿宋_GB2312" w:hAnsi="仿宋_GB2312" w:eastAsia="仿宋_GB2312" w:cs="仿宋_GB2312"/>
          <w:b w:val="0"/>
          <w:bCs w:val="0"/>
          <w:sz w:val="30"/>
          <w:szCs w:val="30"/>
          <w:highlight w:val="none"/>
          <w:lang w:val="en-US" w:eastAsia="zh-CN"/>
        </w:rPr>
        <w:t>建立城乡一体化的医疗服务体系，镇卫生院与村卫生室构建了“镇-村”两级服务体系，实现“常见病不出镇</w:t>
      </w:r>
      <w:r>
        <w:rPr>
          <w:rFonts w:hint="eastAsia" w:ascii="仿宋_GB2312" w:hAnsi="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lang w:val="en-US" w:eastAsia="zh-CN"/>
        </w:rPr>
        <w:t>小病不出村”为红花铺镇居民提供更好的医疗保障。规划保留现状红花铺镇卫生院，改善医疗卫生条件，主要满足乡镇居民医疗、预防、康复等医疗需求。规划保留各行政村卫生室，在原有卫生室的基础上建设，改善医疗卫生设施，满足村民日常就医需求。</w:t>
      </w:r>
    </w:p>
    <w:p w14:paraId="4C72AE7C">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9"/>
        <w:rPr>
          <w:rFonts w:hint="eastAsia"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体育健身设施。</w:t>
      </w:r>
      <w:r>
        <w:rPr>
          <w:rFonts w:hint="eastAsia" w:ascii="仿宋_GB2312" w:hAnsi="仿宋_GB2312" w:eastAsia="仿宋_GB2312" w:cs="仿宋_GB2312"/>
          <w:b w:val="0"/>
          <w:bCs w:val="0"/>
          <w:sz w:val="30"/>
          <w:szCs w:val="30"/>
          <w:highlight w:val="none"/>
          <w:lang w:val="en-US" w:eastAsia="zh-CN"/>
        </w:rPr>
        <w:t>按照配置均衡、方便实用、综合利用的原则补齐基础性公共体育设施。永生村、红花铺村考虑旅游需求，规划可新增2-3处文化广场，白家店村、草凉驿村规划1-2处健身广场，具有篮球、羽毛球、乒乓球等活动功能场地</w:t>
      </w:r>
      <w:r>
        <w:rPr>
          <w:rFonts w:hint="eastAsia" w:ascii="仿宋_GB2312" w:hAnsi="仿宋_GB2312" w:cs="仿宋_GB2312"/>
          <w:b w:val="0"/>
          <w:bCs w:val="0"/>
          <w:sz w:val="30"/>
          <w:szCs w:val="30"/>
          <w:highlight w:val="none"/>
          <w:lang w:val="en-US" w:eastAsia="zh-CN"/>
        </w:rPr>
        <w:t>，</w:t>
      </w:r>
      <w:r>
        <w:rPr>
          <w:rFonts w:hint="eastAsia" w:ascii="仿宋_GB2312" w:hAnsi="仿宋_GB2312" w:eastAsia="仿宋_GB2312" w:cs="仿宋_GB2312"/>
          <w:b w:val="0"/>
          <w:bCs w:val="0"/>
          <w:sz w:val="30"/>
          <w:szCs w:val="30"/>
          <w:highlight w:val="none"/>
          <w:lang w:val="en-US" w:eastAsia="zh-CN"/>
        </w:rPr>
        <w:t>每处广场面积不少于400平方米。</w:t>
      </w:r>
    </w:p>
    <w:p w14:paraId="4D2914CE">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outlineLvl w:val="9"/>
        <w:rPr>
          <w:rFonts w:hint="default"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社会福利设施。</w:t>
      </w:r>
      <w:r>
        <w:rPr>
          <w:rFonts w:hint="eastAsia" w:ascii="仿宋_GB2312" w:hAnsi="仿宋_GB2312" w:eastAsia="仿宋_GB2312" w:cs="仿宋_GB2312"/>
          <w:b w:val="0"/>
          <w:bCs w:val="0"/>
          <w:color w:val="auto"/>
          <w:sz w:val="30"/>
          <w:szCs w:val="30"/>
          <w:highlight w:val="none"/>
          <w:lang w:val="en-US" w:eastAsia="zh-CN"/>
        </w:rPr>
        <w:t>建立与城市发展水平相协调，配置合理、覆盖城乡、层次齐全、惠及全体居民的社会福利保障体系。规划在镇区设置养老院1处，</w:t>
      </w:r>
      <w:r>
        <w:rPr>
          <w:rFonts w:hint="eastAsia" w:ascii="仿宋_GB2312" w:hAnsi="仿宋_GB2312" w:cs="仿宋_GB2312"/>
          <w:b w:val="0"/>
          <w:bCs w:val="0"/>
          <w:color w:val="auto"/>
          <w:sz w:val="30"/>
          <w:szCs w:val="30"/>
          <w:highlight w:val="none"/>
          <w:lang w:val="en-US" w:eastAsia="zh-CN"/>
        </w:rPr>
        <w:t>四村每村</w:t>
      </w:r>
      <w:r>
        <w:rPr>
          <w:rFonts w:hint="eastAsia" w:ascii="仿宋_GB2312" w:hAnsi="仿宋_GB2312" w:eastAsia="仿宋_GB2312" w:cs="仿宋_GB2312"/>
          <w:b w:val="0"/>
          <w:bCs w:val="0"/>
          <w:color w:val="auto"/>
          <w:sz w:val="30"/>
          <w:szCs w:val="30"/>
          <w:highlight w:val="none"/>
          <w:lang w:val="en-US" w:eastAsia="zh-CN"/>
        </w:rPr>
        <w:t>布置1处幸福院。</w:t>
      </w:r>
    </w:p>
    <w:p w14:paraId="3B025775">
      <w:pPr>
        <w:keepNext w:val="0"/>
        <w:keepLines w:val="0"/>
        <w:pageBreakBefore w:val="0"/>
        <w:kinsoku/>
        <w:wordWrap/>
        <w:overflowPunct/>
        <w:topLinePunct w:val="0"/>
        <w:autoSpaceDE/>
        <w:autoSpaceDN/>
        <w:bidi w:val="0"/>
        <w:spacing w:line="360" w:lineRule="auto"/>
        <w:ind w:firstLine="600"/>
        <w:jc w:val="left"/>
        <w:textAlignment w:val="auto"/>
        <w:rPr>
          <w:rFonts w:hint="eastAsia" w:ascii="仿宋_GB2312" w:hAnsi="仿宋_GB2312" w:eastAsia="仿宋_GB2312" w:cs="仿宋_GB2312"/>
          <w:b w:val="0"/>
          <w:bCs w:val="0"/>
          <w:color w:val="000000" w:themeColor="text1"/>
          <w:sz w:val="30"/>
          <w:szCs w:val="30"/>
          <w:highlight w:val="none"/>
          <w:lang w:val="en-US" w:eastAsia="zh-CN"/>
          <w14:textFill>
            <w14:solidFill>
              <w14:schemeClr w14:val="tx1"/>
            </w14:solidFill>
          </w14:textFill>
        </w:rPr>
      </w:pPr>
      <w:r>
        <w:rPr>
          <w:rFonts w:hint="eastAsia" w:ascii="仿宋_GB2312" w:hAnsi="仿宋_GB2312" w:eastAsia="仿宋_GB2312" w:cs="仿宋_GB2312"/>
          <w:b/>
          <w:bCs/>
          <w:sz w:val="30"/>
          <w:szCs w:val="30"/>
          <w:highlight w:val="none"/>
          <w:lang w:val="en-US" w:eastAsia="zh-CN"/>
        </w:rPr>
        <w:t>商业服务设施。</w:t>
      </w:r>
      <w:r>
        <w:rPr>
          <w:rFonts w:hint="eastAsia" w:ascii="仿宋_GB2312" w:hAnsi="仿宋_GB2312" w:eastAsia="仿宋_GB2312" w:cs="仿宋_GB2312"/>
          <w:b w:val="0"/>
          <w:bCs w:val="0"/>
          <w:sz w:val="30"/>
          <w:szCs w:val="30"/>
          <w:highlight w:val="none"/>
          <w:lang w:val="en-US" w:eastAsia="zh-CN"/>
        </w:rPr>
        <w:t>规划镇区层级，商业服务设施满足相关规范要求及上位规划布局。规划在</w:t>
      </w:r>
      <w:r>
        <w:rPr>
          <w:rFonts w:hint="eastAsia" w:ascii="仿宋_GB2312" w:hAnsi="仿宋_GB2312" w:cs="仿宋_GB2312"/>
          <w:b w:val="0"/>
          <w:bCs w:val="0"/>
          <w:sz w:val="30"/>
          <w:szCs w:val="30"/>
          <w:highlight w:val="none"/>
          <w:lang w:val="en-US" w:eastAsia="zh-CN"/>
        </w:rPr>
        <w:t>白家店</w:t>
      </w:r>
      <w:r>
        <w:rPr>
          <w:rFonts w:hint="eastAsia" w:ascii="仿宋_GB2312" w:hAnsi="仿宋_GB2312" w:eastAsia="仿宋_GB2312" w:cs="仿宋_GB2312"/>
          <w:b w:val="0"/>
          <w:bCs w:val="0"/>
          <w:sz w:val="30"/>
          <w:szCs w:val="30"/>
          <w:highlight w:val="none"/>
          <w:lang w:val="en-US" w:eastAsia="zh-CN"/>
        </w:rPr>
        <w:t>村</w:t>
      </w:r>
      <w:r>
        <w:rPr>
          <w:rFonts w:hint="eastAsia" w:ascii="仿宋_GB2312" w:hAnsi="仿宋_GB2312" w:cs="仿宋_GB2312"/>
          <w:b w:val="0"/>
          <w:bCs w:val="0"/>
          <w:sz w:val="30"/>
          <w:szCs w:val="30"/>
          <w:highlight w:val="none"/>
          <w:lang w:val="en-US" w:eastAsia="zh-CN"/>
        </w:rPr>
        <w:t>、草凉驿村、永生村</w:t>
      </w:r>
      <w:r>
        <w:rPr>
          <w:rFonts w:hint="eastAsia" w:ascii="仿宋_GB2312" w:hAnsi="仿宋_GB2312" w:eastAsia="仿宋_GB2312" w:cs="仿宋_GB2312"/>
          <w:b w:val="0"/>
          <w:bCs w:val="0"/>
          <w:sz w:val="30"/>
          <w:szCs w:val="30"/>
          <w:highlight w:val="none"/>
          <w:lang w:val="en-US" w:eastAsia="zh-CN"/>
        </w:rPr>
        <w:t>合理布置便民农家店、村民培训中心各1处，</w:t>
      </w:r>
      <w:r>
        <w:rPr>
          <w:rFonts w:hint="eastAsia" w:ascii="仿宋_GB2312" w:hAnsi="仿宋_GB2312" w:cs="仿宋_GB2312"/>
          <w:b w:val="0"/>
          <w:bCs w:val="0"/>
          <w:sz w:val="30"/>
          <w:szCs w:val="30"/>
          <w:highlight w:val="none"/>
          <w:lang w:val="en-US" w:eastAsia="zh-CN"/>
        </w:rPr>
        <w:t>在白家店村、草凉驿村</w:t>
      </w:r>
      <w:r>
        <w:rPr>
          <w:rFonts w:hint="eastAsia" w:ascii="仿宋_GB2312" w:hAnsi="仿宋_GB2312" w:eastAsia="仿宋_GB2312" w:cs="仿宋_GB2312"/>
          <w:b w:val="0"/>
          <w:bCs w:val="0"/>
          <w:sz w:val="30"/>
          <w:szCs w:val="30"/>
          <w:highlight w:val="none"/>
          <w:lang w:val="en-US" w:eastAsia="zh-CN"/>
        </w:rPr>
        <w:t>结合村</w:t>
      </w:r>
      <w:r>
        <w:rPr>
          <w:rFonts w:hint="eastAsia" w:ascii="仿宋_GB2312" w:hAnsi="仿宋_GB2312" w:eastAsia="仿宋_GB2312" w:cs="仿宋_GB2312"/>
          <w:b w:val="0"/>
          <w:bCs w:val="0"/>
          <w:color w:val="000000" w:themeColor="text1"/>
          <w:sz w:val="30"/>
          <w:szCs w:val="30"/>
          <w:highlight w:val="none"/>
          <w:lang w:val="en-US" w:eastAsia="zh-CN"/>
          <w14:textFill>
            <w14:solidFill>
              <w14:schemeClr w14:val="tx1"/>
            </w14:solidFill>
          </w14:textFill>
        </w:rPr>
        <w:t>委会、商店、村口设置电商物流代办点1处。</w:t>
      </w:r>
    </w:p>
    <w:p w14:paraId="64F1962E">
      <w:pPr>
        <w:pStyle w:val="2"/>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_GB2312" w:hAnsi="仿宋_GB2312" w:eastAsia="仿宋_GB2312" w:cs="仿宋_GB2312"/>
          <w:b w:val="0"/>
          <w:bCs w:val="0"/>
          <w:kern w:val="2"/>
          <w:sz w:val="30"/>
          <w:szCs w:val="30"/>
          <w:highlight w:val="none"/>
          <w:lang w:val="en-US" w:eastAsia="zh-CN" w:bidi="ar-SA"/>
        </w:rPr>
      </w:pPr>
      <w:r>
        <w:rPr>
          <w:rFonts w:hint="eastAsia" w:ascii="仿宋_GB2312" w:hAnsi="仿宋_GB2312" w:eastAsia="仿宋_GB2312" w:cs="仿宋_GB2312"/>
          <w:b/>
          <w:bCs/>
          <w:color w:val="000000" w:themeColor="text1"/>
          <w:sz w:val="30"/>
          <w:szCs w:val="30"/>
          <w:highlight w:val="none"/>
          <w:lang w:val="en-US" w:eastAsia="zh-CN"/>
          <w14:textFill>
            <w14:solidFill>
              <w14:schemeClr w14:val="tx1"/>
            </w14:solidFill>
          </w14:textFill>
        </w:rPr>
        <w:t>社会服务设施。</w:t>
      </w:r>
      <w:r>
        <w:rPr>
          <w:rFonts w:hint="eastAsia" w:ascii="仿宋_GB2312" w:hAnsi="仿宋_GB2312" w:eastAsia="仿宋_GB2312" w:cs="仿宋_GB2312"/>
          <w:b w:val="0"/>
          <w:bCs w:val="0"/>
          <w:kern w:val="2"/>
          <w:sz w:val="30"/>
          <w:szCs w:val="30"/>
          <w:highlight w:val="none"/>
          <w:lang w:val="en-US" w:eastAsia="zh-CN" w:bidi="ar-SA"/>
        </w:rPr>
        <w:t>公益性公墓点在永生村、红花铺村、草凉村、百家村各一处，永生村公墓在永生村二组（新房坪），红花铺公墓在红花铺村二组（竹园沟），草凉村公墓在草凉村四组（蒋家沟），白家村公墓在白家村五组（二里铺）。具体看附表11.</w:t>
      </w:r>
    </w:p>
    <w:p w14:paraId="7FF3E88A">
      <w:pPr>
        <w:pStyle w:val="2"/>
        <w:rPr>
          <w:rFonts w:hint="eastAsia" w:eastAsia="仿宋"/>
          <w:lang w:val="en-US" w:eastAsia="zh-CN"/>
        </w:rPr>
      </w:pPr>
    </w:p>
    <w:p w14:paraId="41CEF932">
      <w:pPr>
        <w:pStyle w:val="4"/>
        <w:spacing w:before="204" w:after="81"/>
        <w:ind w:firstLine="0" w:firstLineChars="0"/>
        <w:rPr>
          <w:rFonts w:ascii="Times New Roman" w:hAnsi="Times New Roman" w:cs="Times New Roman"/>
        </w:rPr>
      </w:pPr>
      <w:bookmarkStart w:id="85" w:name="_Toc3098"/>
      <w:bookmarkStart w:id="86" w:name="_Toc22087"/>
      <w:r>
        <w:rPr>
          <w:rFonts w:ascii="Times New Roman" w:hAnsi="Times New Roman" w:cs="Times New Roman"/>
        </w:rPr>
        <w:t>第</w:t>
      </w:r>
      <w:r>
        <w:rPr>
          <w:rFonts w:hint="eastAsia" w:ascii="Times New Roman" w:hAnsi="Times New Roman" w:cs="Times New Roman"/>
        </w:rPr>
        <w:t>四</w:t>
      </w:r>
      <w:r>
        <w:rPr>
          <w:rFonts w:ascii="Times New Roman" w:hAnsi="Times New Roman" w:cs="Times New Roman"/>
        </w:rPr>
        <w:t xml:space="preserve">节 </w:t>
      </w:r>
      <w:r>
        <w:rPr>
          <w:rFonts w:hint="eastAsia" w:ascii="Times New Roman" w:hAnsi="Times New Roman" w:cs="Times New Roman"/>
        </w:rPr>
        <w:t>综合防灾减灾</w:t>
      </w:r>
      <w:bookmarkEnd w:id="85"/>
      <w:bookmarkEnd w:id="86"/>
    </w:p>
    <w:p w14:paraId="3F1387AB">
      <w:pPr>
        <w:pStyle w:val="5"/>
        <w:widowControl w:val="0"/>
        <w:numPr>
          <w:ilvl w:val="0"/>
          <w:numId w:val="19"/>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地质灾害</w:t>
      </w:r>
    </w:p>
    <w:p w14:paraId="3389C18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依据凤县地质灾害易发程度对红花铺镇分片区进行防治。红花铺镇全域共分为三个等级防治区，其中：重点防治区主要分布于永生村、红花铺村及草凉驿村居民集聚区；次重点防治区主要分布于白家店村及永生村、红花铺村草凉驿村庄周边区域；一般防治区主要分布于镇域边缘无居住点的山区。</w:t>
      </w:r>
    </w:p>
    <w:p w14:paraId="3EF56145">
      <w:pPr>
        <w:ind w:firstLine="600"/>
        <w:jc w:val="left"/>
        <w:rPr>
          <w:rFonts w:ascii="仿宋_GB2312" w:hAnsi="宋体" w:cs="仿宋_GB2312"/>
          <w:color w:val="000000"/>
          <w:kern w:val="0"/>
          <w:szCs w:val="30"/>
          <w:lang w:bidi="ar"/>
        </w:rPr>
      </w:pPr>
      <w:r>
        <w:rPr>
          <w:rFonts w:hint="eastAsia" w:ascii="仿宋_GB2312" w:hAnsi="宋体" w:eastAsia="仿宋_GB2312" w:cs="仿宋_GB2312"/>
          <w:color w:val="000000"/>
          <w:kern w:val="0"/>
          <w:sz w:val="30"/>
          <w:szCs w:val="30"/>
          <w:lang w:val="en-US" w:eastAsia="zh-CN" w:bidi="ar"/>
        </w:rPr>
        <w:t>红花铺镇共有21处地质灾害隐患点，其中滑坡11处、崩塌4处、泥石流6处，针对三种不同类型的隐患点分门类进行防治。重点加强红花铺村、白家店村崩塌的灾害防治，采取危岩清理、挂网、挡墙、围栏等工程措施，设警示牌，实施监测预警预报，同时加强隐患点的巡查巡测工作，建立并落实地质灾害信息速报制度，确保公路交通运输安全。增加生态环境整治力度，改善地质环境，控制地质灾害的发生，减轻地质灾害危害程度。对红花铺村、永生村、草凉驿村、白家店村滑坡隐患点采取工程治理、监测预警、简易监测及专业检测并举的工程防治措施，通过排水、削坡减载、坡脚支挡、坡体加固、绿化等措施进行防治。加强红花铺村、白家店村泥石流的灾害防治，</w:t>
      </w:r>
      <w:r>
        <w:rPr>
          <w:rFonts w:hint="eastAsia" w:ascii="仿宋_GB2312" w:hAnsi="宋体" w:cs="仿宋_GB2312"/>
          <w:color w:val="000000"/>
          <w:kern w:val="0"/>
          <w:sz w:val="30"/>
          <w:szCs w:val="30"/>
          <w:lang w:val="en-US" w:eastAsia="zh-CN" w:bidi="ar"/>
        </w:rPr>
        <w:t>主要</w:t>
      </w:r>
      <w:r>
        <w:rPr>
          <w:rFonts w:hint="eastAsia" w:ascii="仿宋_GB2312" w:hAnsi="宋体" w:eastAsia="仿宋_GB2312" w:cs="仿宋_GB2312"/>
          <w:color w:val="000000"/>
          <w:kern w:val="0"/>
          <w:sz w:val="30"/>
          <w:szCs w:val="30"/>
          <w:lang w:val="en-US" w:eastAsia="zh-CN" w:bidi="ar"/>
        </w:rPr>
        <w:t>采取监测预警防治措施，植树造林、修筑排水及支挡工程，加固沟底、沟头、沟坡；分级修建砌石或混凝土挡渣坝、修建滞流及挡截设施等措施进行防治</w:t>
      </w:r>
      <w:r>
        <w:rPr>
          <w:rFonts w:hint="eastAsia" w:ascii="仿宋_GB2312" w:hAnsi="宋体" w:cs="仿宋_GB2312"/>
          <w:color w:val="000000"/>
          <w:kern w:val="0"/>
          <w:szCs w:val="30"/>
          <w:lang w:bidi="ar"/>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E8E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BB41297">
            <w:pPr>
              <w:pStyle w:val="26"/>
              <w:spacing w:after="204"/>
              <w:ind w:firstLine="281"/>
              <w:jc w:val="center"/>
              <w:rPr>
                <w:rFonts w:ascii="仿宋_GB2312" w:hAnsi="仿宋_GB2312" w:cs="仿宋_GB2312" w:eastAsiaTheme="minorEastAsia"/>
              </w:rPr>
            </w:pPr>
            <w:r>
              <w:rPr>
                <w:rFonts w:cs="Times New Roman"/>
                <w:b/>
                <w:bCs/>
              </w:rPr>
              <w:t>专栏</w:t>
            </w:r>
            <w:r>
              <w:rPr>
                <w:rFonts w:hint="eastAsia" w:cs="Times New Roman"/>
                <w:b/>
                <w:bCs/>
                <w:lang w:val="en-US" w:eastAsia="zh-CN"/>
              </w:rPr>
              <w:t>1</w:t>
            </w:r>
            <w:r>
              <w:rPr>
                <w:color w:val="FF0000"/>
              </w:rPr>
              <w:t xml:space="preserve">  </w:t>
            </w:r>
            <w:r>
              <w:rPr>
                <w:rFonts w:hint="eastAsia" w:cs="Times New Roman"/>
                <w:b/>
                <w:bCs/>
                <w:lang w:eastAsia="zh-CN"/>
              </w:rPr>
              <w:t>红花铺镇</w:t>
            </w:r>
            <w:r>
              <w:rPr>
                <w:rFonts w:hint="eastAsia" w:cs="Times New Roman"/>
                <w:b/>
                <w:bCs/>
              </w:rPr>
              <w:t>地质灾害点</w:t>
            </w:r>
          </w:p>
        </w:tc>
      </w:tr>
      <w:tr w14:paraId="1EF3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87BB8C3">
            <w:pPr>
              <w:pStyle w:val="26"/>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default" w:ascii="仿宋_GB2312" w:hAnsi="仿宋_GB2312" w:eastAsia="仿宋_GB2312" w:cs="仿宋_GB2312"/>
                <w:sz w:val="24"/>
                <w:szCs w:val="22"/>
                <w:vertAlign w:val="baseline"/>
                <w:lang w:val="en-US" w:eastAsia="zh-CN"/>
              </w:rPr>
            </w:pPr>
            <w:r>
              <w:rPr>
                <w:rFonts w:hint="eastAsia" w:ascii="仿宋_GB2312" w:hAnsi="仿宋_GB2312" w:eastAsia="仿宋_GB2312" w:cs="仿宋_GB2312"/>
                <w:b/>
                <w:bCs/>
                <w:sz w:val="24"/>
                <w:szCs w:val="22"/>
                <w:vertAlign w:val="baseline"/>
                <w:lang w:val="en-US" w:eastAsia="zh-CN"/>
              </w:rPr>
              <w:t>崩塌灾害点：</w:t>
            </w:r>
            <w:r>
              <w:rPr>
                <w:rFonts w:hint="eastAsia" w:ascii="仿宋_GB2312" w:hAnsi="仿宋_GB2312" w:eastAsia="仿宋_GB2312" w:cs="仿宋_GB2312"/>
                <w:sz w:val="24"/>
                <w:szCs w:val="22"/>
                <w:vertAlign w:val="baseline"/>
                <w:lang w:val="en-US" w:eastAsia="zh-CN"/>
              </w:rPr>
              <w:t>红花铺公路崩塌（红花铺村），采用简易监测防治措施；廖家河坝崩塌（白家店村廖家）、土关铺崩塌（白家店村土关铺），宜采用监测预警防治措施；殷家庄崩塌（白家店村殷家庄）采用搬迁避让措施。</w:t>
            </w:r>
          </w:p>
          <w:p w14:paraId="2D7A34A2">
            <w:pPr>
              <w:pStyle w:val="2"/>
              <w:keepNext w:val="0"/>
              <w:keepLines w:val="0"/>
              <w:pageBreakBefore w:val="0"/>
              <w:widowControl w:val="0"/>
              <w:kinsoku/>
              <w:wordWrap/>
              <w:overflowPunct/>
              <w:topLinePunct w:val="0"/>
              <w:autoSpaceDE/>
              <w:autoSpaceDN/>
              <w:bidi w:val="0"/>
              <w:adjustRightInd/>
              <w:snapToGrid/>
              <w:spacing w:after="0"/>
              <w:ind w:firstLine="482" w:firstLineChars="200"/>
              <w:textAlignment w:val="auto"/>
              <w:rPr>
                <w:rFonts w:hint="default"/>
                <w:sz w:val="24"/>
                <w:szCs w:val="22"/>
                <w:lang w:val="en-US" w:eastAsia="zh-CN"/>
              </w:rPr>
            </w:pPr>
            <w:r>
              <w:rPr>
                <w:rFonts w:hint="eastAsia" w:ascii="仿宋_GB2312" w:hAnsi="仿宋_GB2312" w:eastAsia="仿宋_GB2312" w:cs="仿宋_GB2312"/>
                <w:b/>
                <w:bCs/>
                <w:sz w:val="24"/>
                <w:szCs w:val="22"/>
                <w:vertAlign w:val="baseline"/>
                <w:lang w:val="en-US" w:eastAsia="zh-CN"/>
              </w:rPr>
              <w:t>滑坡灾害点</w:t>
            </w:r>
            <w:r>
              <w:rPr>
                <w:rFonts w:hint="eastAsia" w:ascii="仿宋_GB2312" w:hAnsi="仿宋_GB2312" w:eastAsia="仿宋_GB2312" w:cs="仿宋_GB2312"/>
                <w:sz w:val="24"/>
                <w:szCs w:val="22"/>
                <w:vertAlign w:val="baseline"/>
                <w:lang w:val="en-US" w:eastAsia="zh-CN"/>
              </w:rPr>
              <w:t>：草凉驿滑坡（草凉驿村四组）、簸箕湾铁路后滑坡（草凉驿村五组）、方家湾滑坡（永生村方家湾），采用专业监测预警措施；刘家河滑坡（瓦窑厂）（永生村刘家河）、</w:t>
            </w:r>
            <w:r>
              <w:rPr>
                <w:rFonts w:hint="eastAsia" w:ascii="仿宋_GB2312" w:hAnsi="仿宋_GB2312" w:eastAsia="仿宋_GB2312" w:cs="仿宋_GB2312"/>
                <w:sz w:val="24"/>
                <w:szCs w:val="22"/>
                <w:highlight w:val="none"/>
                <w:vertAlign w:val="baseline"/>
                <w:lang w:val="en-US" w:eastAsia="zh-CN"/>
              </w:rPr>
              <w:t>梨树坡滑坡（红花铺村梨树坡）、魏家湾滑坡（红花铺村魏家湾）、朱沟口滑坡（</w:t>
            </w:r>
            <w:r>
              <w:rPr>
                <w:rFonts w:hint="eastAsia" w:ascii="仿宋_GB2312" w:hAnsi="仿宋_GB2312" w:eastAsia="仿宋_GB2312" w:cs="仿宋_GB2312"/>
                <w:sz w:val="24"/>
                <w:szCs w:val="22"/>
                <w:vertAlign w:val="baseline"/>
                <w:lang w:val="en-US" w:eastAsia="zh-CN"/>
              </w:rPr>
              <w:t>红花铺村朱沟口）、土关铺滑坡（白家店村土关铺），以上宜采用</w:t>
            </w:r>
            <w:r>
              <w:rPr>
                <w:rFonts w:hint="eastAsia" w:ascii="仿宋_GB2312" w:hAnsi="仿宋_GB2312" w:eastAsia="仿宋_GB2312" w:cs="仿宋_GB2312"/>
                <w:sz w:val="24"/>
                <w:szCs w:val="22"/>
                <w:highlight w:val="none"/>
                <w:vertAlign w:val="baseline"/>
                <w:lang w:val="en-US" w:eastAsia="zh-CN"/>
              </w:rPr>
              <w:t>监测预警</w:t>
            </w:r>
            <w:r>
              <w:rPr>
                <w:rFonts w:hint="eastAsia" w:ascii="仿宋_GB2312" w:hAnsi="仿宋_GB2312" w:eastAsia="仿宋_GB2312" w:cs="仿宋_GB2312"/>
                <w:sz w:val="24"/>
                <w:szCs w:val="22"/>
                <w:vertAlign w:val="baseline"/>
                <w:lang w:val="en-US" w:eastAsia="zh-CN"/>
              </w:rPr>
              <w:t>防治措施；白家店不稳定斜坡（白家店村五组）采用工程治理防治措施；王家台滑坡1（王家台村）、王家台滑坡3（王家台村），采用简易监测防治措施</w:t>
            </w:r>
          </w:p>
          <w:p w14:paraId="36531FE5">
            <w:pPr>
              <w:pStyle w:val="26"/>
              <w:adjustRightInd/>
              <w:snapToGrid/>
              <w:spacing w:afterLines="0" w:line="240" w:lineRule="atLeast"/>
              <w:ind w:firstLine="482" w:firstLineChars="200"/>
              <w:rPr>
                <w:rFonts w:hint="eastAsia" w:ascii="仿宋_GB2312" w:hAnsi="仿宋_GB2312" w:eastAsia="仿宋_GB2312" w:cs="仿宋_GB2312"/>
                <w:b/>
                <w:bCs/>
                <w:sz w:val="24"/>
                <w:szCs w:val="22"/>
              </w:rPr>
            </w:pPr>
            <w:r>
              <w:rPr>
                <w:rFonts w:hint="eastAsia" w:ascii="仿宋_GB2312" w:hAnsi="仿宋_GB2312" w:eastAsia="仿宋_GB2312" w:cs="仿宋_GB2312"/>
                <w:b/>
                <w:bCs/>
                <w:sz w:val="24"/>
                <w:szCs w:val="22"/>
                <w:vertAlign w:val="baseline"/>
                <w:lang w:val="en-US" w:eastAsia="zh-CN"/>
              </w:rPr>
              <w:t>泥石流灾害点：</w:t>
            </w:r>
            <w:r>
              <w:rPr>
                <w:rFonts w:hint="eastAsia" w:ascii="仿宋_GB2312" w:hAnsi="仿宋_GB2312" w:eastAsia="仿宋_GB2312" w:cs="仿宋_GB2312"/>
                <w:sz w:val="24"/>
                <w:szCs w:val="22"/>
                <w:vertAlign w:val="baseline"/>
                <w:lang w:val="en-US" w:eastAsia="zh-CN"/>
              </w:rPr>
              <w:t>庙沟泥石流（红花铺村庙沟）、庙沟渠泥石流（红花铺村庙沟）、绳洞沟泥石流（红花铺村绳洞沟）、吃水沟泥石流（白家店村吃水沟）、王家台泥石流（白家店村王家台）、五星台泥石流（白家店村五星台），以上灾害防治采用监测预警措施</w:t>
            </w:r>
            <w:r>
              <w:rPr>
                <w:rFonts w:hint="eastAsia" w:ascii="仿宋_GB2312" w:hAnsi="仿宋_GB2312" w:eastAsia="仿宋_GB2312" w:cs="仿宋_GB2312"/>
                <w:sz w:val="24"/>
                <w:szCs w:val="22"/>
                <w:lang w:eastAsia="zh-CN"/>
              </w:rPr>
              <w:t>。</w:t>
            </w:r>
          </w:p>
          <w:p w14:paraId="12852494">
            <w:pPr>
              <w:pStyle w:val="26"/>
              <w:adjustRightInd/>
              <w:snapToGrid/>
              <w:spacing w:afterLines="0" w:line="240" w:lineRule="atLeast"/>
              <w:ind w:firstLine="0" w:firstLineChars="0"/>
              <w:rPr>
                <w:rFonts w:eastAsia="仿宋_GB2312"/>
              </w:rPr>
            </w:pPr>
          </w:p>
        </w:tc>
      </w:tr>
    </w:tbl>
    <w:p w14:paraId="475DC6D1">
      <w:pPr>
        <w:pStyle w:val="5"/>
        <w:widowControl w:val="0"/>
        <w:numPr>
          <w:ilvl w:val="0"/>
          <w:numId w:val="19"/>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防洪排涝</w:t>
      </w:r>
    </w:p>
    <w:p w14:paraId="050A28E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规划嘉陵江防洪标准为</w:t>
      </w:r>
      <w:r>
        <w:rPr>
          <w:rFonts w:hint="eastAsia" w:ascii="仿宋_GB2312" w:hAnsi="宋体" w:cs="仿宋_GB2312"/>
          <w:color w:val="000000"/>
          <w:kern w:val="0"/>
          <w:sz w:val="30"/>
          <w:szCs w:val="30"/>
          <w:lang w:val="en-US" w:eastAsia="zh-CN" w:bidi="ar"/>
        </w:rPr>
        <w:t>50</w:t>
      </w:r>
      <w:r>
        <w:rPr>
          <w:rFonts w:hint="eastAsia" w:ascii="仿宋_GB2312" w:hAnsi="宋体" w:eastAsia="仿宋_GB2312" w:cs="仿宋_GB2312"/>
          <w:color w:val="000000"/>
          <w:kern w:val="0"/>
          <w:sz w:val="30"/>
          <w:szCs w:val="30"/>
          <w:lang w:val="en-US" w:eastAsia="zh-CN" w:bidi="ar"/>
        </w:rPr>
        <w:t>年一遇，其他区域山洪采用</w:t>
      </w:r>
      <w:r>
        <w:rPr>
          <w:rFonts w:hint="eastAsia" w:ascii="仿宋_GB2312" w:hAnsi="宋体" w:cs="仿宋_GB2312"/>
          <w:color w:val="000000"/>
          <w:kern w:val="0"/>
          <w:sz w:val="30"/>
          <w:szCs w:val="30"/>
          <w:lang w:val="en-US" w:eastAsia="zh-CN" w:bidi="ar"/>
        </w:rPr>
        <w:t>30</w:t>
      </w:r>
      <w:r>
        <w:rPr>
          <w:rFonts w:hint="eastAsia" w:ascii="仿宋_GB2312" w:hAnsi="宋体" w:eastAsia="仿宋_GB2312" w:cs="仿宋_GB2312"/>
          <w:color w:val="000000"/>
          <w:kern w:val="0"/>
          <w:sz w:val="30"/>
          <w:szCs w:val="30"/>
          <w:lang w:val="en-US" w:eastAsia="zh-CN" w:bidi="ar"/>
        </w:rPr>
        <w:t>年一遇洪水设防标准。规划采用工程措施及非工程措施对全域内河道流域综合治理。结合村委会建立防洪指挥中心，建立对气象、暴雨预警等信息服务平台，健全对洪涝灾害监测预警机制。</w:t>
      </w:r>
    </w:p>
    <w:p w14:paraId="54775BB5">
      <w:pPr>
        <w:ind w:firstLine="600"/>
        <w:jc w:val="left"/>
        <w:rPr>
          <w:rFonts w:ascii="仿宋" w:hAnsi="仿宋" w:eastAsia="仿宋" w:cs="仿宋"/>
          <w:szCs w:val="30"/>
        </w:rPr>
      </w:pPr>
      <w:r>
        <w:rPr>
          <w:rFonts w:hint="eastAsia" w:ascii="仿宋_GB2312" w:hAnsi="宋体" w:eastAsia="仿宋_GB2312" w:cs="仿宋_GB2312"/>
          <w:color w:val="000000"/>
          <w:kern w:val="0"/>
          <w:sz w:val="30"/>
          <w:szCs w:val="30"/>
          <w:lang w:val="en-US" w:eastAsia="zh-CN" w:bidi="ar"/>
        </w:rPr>
        <w:t>排涝标准。镇区按10年一遇、村庄按5年一遇。通过灾害点分区，采用分区防治、洪涝共治等措施对红花铺镇洪涝灾害防治，建立健全防洪工程体系，</w:t>
      </w:r>
      <w:r>
        <w:rPr>
          <w:rFonts w:hint="eastAsia" w:ascii="仿宋_GB2312" w:hAnsi="宋体" w:cs="仿宋_GB2312"/>
          <w:color w:val="000000"/>
          <w:kern w:val="0"/>
          <w:sz w:val="30"/>
          <w:szCs w:val="30"/>
          <w:lang w:val="en-US" w:eastAsia="zh-CN" w:bidi="ar"/>
        </w:rPr>
        <w:t>加快</w:t>
      </w:r>
      <w:r>
        <w:rPr>
          <w:rFonts w:hint="eastAsia" w:ascii="仿宋_GB2312" w:hAnsi="宋体" w:eastAsia="仿宋_GB2312" w:cs="仿宋_GB2312"/>
          <w:color w:val="000000"/>
          <w:kern w:val="0"/>
          <w:sz w:val="30"/>
          <w:szCs w:val="30"/>
          <w:lang w:val="en-US" w:eastAsia="zh-CN" w:bidi="ar"/>
        </w:rPr>
        <w:t>河道及滞洪区建设，疏通全域内流域水系。</w:t>
      </w:r>
    </w:p>
    <w:p w14:paraId="350B964A">
      <w:pPr>
        <w:pStyle w:val="5"/>
        <w:widowControl w:val="0"/>
        <w:numPr>
          <w:ilvl w:val="0"/>
          <w:numId w:val="19"/>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防震抗震</w:t>
      </w:r>
    </w:p>
    <w:p w14:paraId="35A5D3A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根据相关规范要求，红花铺镇地震动峰值加速度为0.</w:t>
      </w:r>
      <w:r>
        <w:rPr>
          <w:rFonts w:hint="eastAsia" w:ascii="仿宋_GB2312" w:hAnsi="宋体" w:cs="仿宋_GB2312"/>
          <w:color w:val="000000"/>
          <w:kern w:val="0"/>
          <w:sz w:val="30"/>
          <w:szCs w:val="30"/>
          <w:lang w:val="en-US" w:eastAsia="zh-CN" w:bidi="ar"/>
        </w:rPr>
        <w:t>20</w:t>
      </w:r>
      <w:r>
        <w:rPr>
          <w:rFonts w:hint="eastAsia" w:ascii="仿宋_GB2312" w:hAnsi="宋体" w:eastAsia="仿宋_GB2312" w:cs="仿宋_GB2312"/>
          <w:color w:val="000000"/>
          <w:kern w:val="0"/>
          <w:sz w:val="30"/>
          <w:szCs w:val="30"/>
          <w:lang w:val="en-US" w:eastAsia="zh-CN" w:bidi="ar"/>
        </w:rPr>
        <w:t>g，全镇地震烈度为</w:t>
      </w:r>
      <w:r>
        <w:rPr>
          <w:rFonts w:hint="eastAsia" w:ascii="仿宋_GB2312" w:hAnsi="宋体" w:cs="仿宋_GB2312"/>
          <w:color w:val="000000"/>
          <w:kern w:val="0"/>
          <w:sz w:val="30"/>
          <w:szCs w:val="30"/>
          <w:lang w:val="en-US" w:eastAsia="zh-CN" w:bidi="ar"/>
        </w:rPr>
        <w:t>8</w:t>
      </w:r>
      <w:r>
        <w:rPr>
          <w:rFonts w:hint="eastAsia" w:ascii="仿宋_GB2312" w:hAnsi="宋体" w:eastAsia="仿宋_GB2312" w:cs="仿宋_GB2312"/>
          <w:color w:val="000000"/>
          <w:kern w:val="0"/>
          <w:sz w:val="30"/>
          <w:szCs w:val="30"/>
          <w:lang w:val="en-US" w:eastAsia="zh-CN" w:bidi="ar"/>
        </w:rPr>
        <w:t>度，重要建筑、生命线工程应相应提高设防级别。</w:t>
      </w:r>
    </w:p>
    <w:p w14:paraId="086D0C17">
      <w:pPr>
        <w:ind w:firstLine="600"/>
        <w:jc w:val="left"/>
        <w:rPr>
          <w:rFonts w:ascii="仿宋_GB2312" w:hAnsi="宋体" w:cs="仿宋_GB2312"/>
          <w:color w:val="000000"/>
          <w:kern w:val="0"/>
          <w:szCs w:val="30"/>
          <w:lang w:bidi="ar"/>
        </w:rPr>
      </w:pPr>
      <w:r>
        <w:rPr>
          <w:rFonts w:hint="eastAsia" w:ascii="仿宋_GB2312" w:hAnsi="宋体" w:eastAsia="仿宋_GB2312" w:cs="仿宋_GB2312"/>
          <w:color w:val="000000"/>
          <w:kern w:val="0"/>
          <w:sz w:val="30"/>
          <w:szCs w:val="30"/>
          <w:lang w:val="en-US" w:eastAsia="zh-CN" w:bidi="ar"/>
        </w:rPr>
        <w:t>避震疏散场所和通道。依托镇政府作为防灾指挥中心，充分利用公园、绿地、广场、学校操场等开敞空间作为镇村避震疏散场地，疏散半径在0.5-1.0里以内</w:t>
      </w:r>
      <w:r>
        <w:rPr>
          <w:rFonts w:hint="eastAsia" w:ascii="仿宋_GB2312" w:hAnsi="宋体" w:cs="仿宋_GB2312"/>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各行政村可结合农田、广场等作为灾害发生时的临时避难场地，利用</w:t>
      </w:r>
      <w:r>
        <w:rPr>
          <w:rFonts w:hint="eastAsia" w:ascii="仿宋_GB2312" w:hAnsi="仿宋_GB2312" w:eastAsia="仿宋_GB2312" w:cs="仿宋_GB2312"/>
          <w:sz w:val="30"/>
          <w:szCs w:val="30"/>
          <w:highlight w:val="none"/>
          <w:lang w:val="en-US" w:eastAsia="zh-CN"/>
        </w:rPr>
        <w:t>S219</w:t>
      </w:r>
      <w:r>
        <w:rPr>
          <w:rFonts w:hint="eastAsia" w:ascii="仿宋_GB2312" w:hAnsi="宋体" w:eastAsia="仿宋_GB2312" w:cs="仿宋_GB2312"/>
          <w:color w:val="000000"/>
          <w:kern w:val="0"/>
          <w:sz w:val="30"/>
          <w:szCs w:val="30"/>
          <w:lang w:val="en-US" w:eastAsia="zh-CN" w:bidi="ar"/>
        </w:rPr>
        <w:t>、X251、村庄干路等主要道路作为疏散救援道路</w:t>
      </w:r>
      <w:r>
        <w:rPr>
          <w:rFonts w:hint="eastAsia" w:ascii="仿宋_GB2312" w:hAnsi="宋体" w:cs="仿宋_GB2312"/>
          <w:color w:val="000000"/>
          <w:kern w:val="0"/>
          <w:szCs w:val="30"/>
          <w:lang w:bidi="ar"/>
        </w:rPr>
        <w:t>。</w:t>
      </w:r>
    </w:p>
    <w:p w14:paraId="0E262762">
      <w:pPr>
        <w:pStyle w:val="5"/>
        <w:widowControl w:val="0"/>
        <w:numPr>
          <w:ilvl w:val="0"/>
          <w:numId w:val="19"/>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消防</w:t>
      </w:r>
    </w:p>
    <w:p w14:paraId="2A881FF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贯彻“预防为主、防消结合”的消防工作方针，重点针对建设区和山林区进行消防工作。规划镇区建设</w:t>
      </w:r>
      <w:r>
        <w:rPr>
          <w:rFonts w:hint="eastAsia" w:ascii="仿宋_GB2312" w:hAnsi="宋体" w:cs="仿宋_GB2312"/>
          <w:color w:val="000000"/>
          <w:kern w:val="0"/>
          <w:sz w:val="30"/>
          <w:szCs w:val="30"/>
          <w:lang w:val="en-US" w:eastAsia="zh-CN" w:bidi="ar"/>
        </w:rPr>
        <w:t>微型</w:t>
      </w:r>
      <w:r>
        <w:rPr>
          <w:rFonts w:hint="eastAsia" w:ascii="仿宋_GB2312" w:hAnsi="宋体" w:eastAsia="仿宋_GB2312" w:cs="仿宋_GB2312"/>
          <w:color w:val="000000"/>
          <w:kern w:val="0"/>
          <w:sz w:val="30"/>
          <w:szCs w:val="30"/>
          <w:lang w:val="en-US" w:eastAsia="zh-CN" w:bidi="ar"/>
        </w:rPr>
        <w:t>消防站1座，各村结合村委会建设微型消防站。以镇消防队为中心，各村成立义务消防组织，沿省道S219设消防取水点，在村民集聚区沿主要道路布设消火栓，以嘉陵江天然水源为主，以给水系统为备用水源，保障全域消防系统全覆盖。</w:t>
      </w:r>
    </w:p>
    <w:p w14:paraId="762FBABA">
      <w:pPr>
        <w:ind w:firstLine="600"/>
        <w:jc w:val="left"/>
        <w:rPr>
          <w:rFonts w:ascii="仿宋_GB2312" w:hAnsi="宋体" w:cs="仿宋_GB2312"/>
          <w:color w:val="000000"/>
          <w:kern w:val="0"/>
          <w:szCs w:val="30"/>
          <w:lang w:bidi="ar"/>
        </w:rPr>
      </w:pPr>
      <w:r>
        <w:rPr>
          <w:rFonts w:hint="eastAsia" w:ascii="仿宋_GB2312" w:hAnsi="宋体" w:eastAsia="仿宋_GB2312" w:cs="仿宋_GB2312"/>
          <w:color w:val="000000"/>
          <w:kern w:val="0"/>
          <w:sz w:val="30"/>
          <w:szCs w:val="30"/>
          <w:lang w:val="en-US" w:eastAsia="zh-CN" w:bidi="ar"/>
        </w:rPr>
        <w:t>构建通畅完善的应急疏散通道。依托</w:t>
      </w:r>
      <w:r>
        <w:rPr>
          <w:rFonts w:hint="eastAsia" w:ascii="仿宋_GB2312" w:hAnsi="宋体" w:cs="仿宋_GB2312"/>
          <w:color w:val="000000"/>
          <w:kern w:val="0"/>
          <w:sz w:val="30"/>
          <w:szCs w:val="30"/>
          <w:lang w:val="en-US" w:eastAsia="zh-CN" w:bidi="ar"/>
        </w:rPr>
        <w:t>S219</w:t>
      </w:r>
      <w:r>
        <w:rPr>
          <w:rFonts w:hint="eastAsia" w:ascii="仿宋_GB2312" w:hAnsi="宋体" w:eastAsia="仿宋_GB2312" w:cs="仿宋_GB2312"/>
          <w:color w:val="000000"/>
          <w:kern w:val="0"/>
          <w:sz w:val="30"/>
          <w:szCs w:val="30"/>
          <w:lang w:val="en-US" w:eastAsia="zh-CN" w:bidi="ar"/>
        </w:rPr>
        <w:t>、X251优先设置应急救援专用车道，保证有效宽度不小于</w:t>
      </w:r>
      <w:r>
        <w:rPr>
          <w:rFonts w:hint="default" w:ascii="仿宋_GB2312" w:hAnsi="宋体" w:eastAsia="仿宋_GB2312" w:cs="仿宋_GB2312"/>
          <w:color w:val="000000"/>
          <w:kern w:val="0"/>
          <w:sz w:val="30"/>
          <w:szCs w:val="30"/>
          <w:lang w:val="en-US" w:eastAsia="zh-CN" w:bidi="ar"/>
        </w:rPr>
        <w:t>15</w:t>
      </w:r>
      <w:r>
        <w:rPr>
          <w:rFonts w:hint="eastAsia" w:ascii="仿宋_GB2312" w:hAnsi="宋体" w:eastAsia="仿宋_GB2312" w:cs="仿宋_GB2312"/>
          <w:color w:val="000000"/>
          <w:kern w:val="0"/>
          <w:sz w:val="30"/>
          <w:szCs w:val="30"/>
          <w:lang w:val="en-US" w:eastAsia="zh-CN" w:bidi="ar"/>
        </w:rPr>
        <w:t>米。以镇区城市主干道、次干道及村庄干路为主要疏散通道，保证有效宽度不小于</w:t>
      </w:r>
      <w:r>
        <w:rPr>
          <w:rFonts w:hint="default" w:ascii="仿宋_GB2312" w:hAnsi="宋体" w:eastAsia="仿宋_GB2312" w:cs="仿宋_GB2312"/>
          <w:color w:val="000000"/>
          <w:kern w:val="0"/>
          <w:sz w:val="30"/>
          <w:szCs w:val="30"/>
          <w:lang w:val="en-US" w:eastAsia="zh-CN" w:bidi="ar"/>
        </w:rPr>
        <w:t>4</w:t>
      </w:r>
      <w:r>
        <w:rPr>
          <w:rFonts w:hint="eastAsia" w:ascii="仿宋_GB2312" w:hAnsi="宋体" w:eastAsia="仿宋_GB2312" w:cs="仿宋_GB2312"/>
          <w:color w:val="000000"/>
          <w:kern w:val="0"/>
          <w:sz w:val="30"/>
          <w:szCs w:val="30"/>
          <w:lang w:val="en-US" w:eastAsia="zh-CN" w:bidi="ar"/>
        </w:rPr>
        <w:t>米</w:t>
      </w:r>
      <w:r>
        <w:rPr>
          <w:rFonts w:hint="eastAsia" w:ascii="仿宋_GB2312" w:hAnsi="宋体" w:cs="仿宋_GB2312"/>
          <w:color w:val="000000"/>
          <w:kern w:val="0"/>
          <w:szCs w:val="30"/>
          <w:lang w:bidi="ar"/>
        </w:rPr>
        <w:t>。</w:t>
      </w:r>
    </w:p>
    <w:p w14:paraId="2D756C13">
      <w:pPr>
        <w:pStyle w:val="5"/>
        <w:widowControl w:val="0"/>
        <w:numPr>
          <w:ilvl w:val="0"/>
          <w:numId w:val="19"/>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lang w:val="en-US" w:eastAsia="zh-CN"/>
        </w:rPr>
        <w:t>公共卫生</w:t>
      </w:r>
    </w:p>
    <w:p w14:paraId="063CA83A">
      <w:pPr>
        <w:ind w:firstLine="600"/>
        <w:jc w:val="left"/>
        <w:rPr>
          <w:rFonts w:hint="eastAsia" w:ascii="仿宋_GB2312" w:hAnsi="宋体" w:cs="仿宋_GB2312"/>
          <w:color w:val="000000"/>
          <w:kern w:val="0"/>
          <w:szCs w:val="30"/>
          <w:lang w:bidi="ar"/>
        </w:rPr>
      </w:pPr>
      <w:r>
        <w:rPr>
          <w:rFonts w:hint="eastAsia" w:ascii="仿宋_GB2312" w:hAnsi="宋体" w:eastAsia="仿宋_GB2312" w:cs="仿宋_GB2312"/>
          <w:color w:val="000000"/>
          <w:kern w:val="0"/>
          <w:sz w:val="30"/>
          <w:szCs w:val="30"/>
          <w:lang w:val="en-US" w:eastAsia="zh-CN" w:bidi="ar"/>
        </w:rPr>
        <w:t>到</w:t>
      </w:r>
      <w:r>
        <w:rPr>
          <w:rFonts w:hint="default" w:ascii="仿宋_GB2312" w:hAnsi="宋体" w:eastAsia="仿宋_GB2312" w:cs="仿宋_GB2312"/>
          <w:color w:val="000000"/>
          <w:kern w:val="0"/>
          <w:sz w:val="30"/>
          <w:szCs w:val="30"/>
          <w:lang w:val="en-US" w:eastAsia="zh-CN" w:bidi="ar"/>
        </w:rPr>
        <w:t>2035</w:t>
      </w:r>
      <w:r>
        <w:rPr>
          <w:rFonts w:hint="eastAsia" w:ascii="仿宋_GB2312" w:hAnsi="宋体" w:eastAsia="仿宋_GB2312" w:cs="仿宋_GB2312"/>
          <w:color w:val="000000"/>
          <w:kern w:val="0"/>
          <w:sz w:val="30"/>
          <w:szCs w:val="30"/>
          <w:lang w:val="en-US" w:eastAsia="zh-CN" w:bidi="ar"/>
        </w:rPr>
        <w:t>年，建立层级明确的“镇—村”两级卫生防疫体系。构建以镇区卫生院为统筹，各村卫生室协调配合的卫生防疫体系，提升全域卫生防疫能力。提高卫生院医疗服务、卫生防疫能力，完善疾病预防控制、紧急医学救援、应急调度指挥功能。在体育运动场地、绿地广场的规划建设中，预留紧急防疫、防灾的设施接口和空间，依托学校、村委会等公服设施，建设或固定储备一定规模的医学隔离点，实现医学隔离保障。建立卫生应急物资储备机制，建设物资储备仓库，形成覆盖各类突发公共事件的应急医用物资保障的储备和管理体系</w:t>
      </w:r>
      <w:r>
        <w:rPr>
          <w:rFonts w:hint="eastAsia" w:ascii="仿宋_GB2312" w:hAnsi="宋体" w:cs="仿宋_GB2312"/>
          <w:color w:val="000000"/>
          <w:kern w:val="0"/>
          <w:szCs w:val="30"/>
          <w:lang w:bidi="ar"/>
        </w:rPr>
        <w:t>。</w:t>
      </w:r>
    </w:p>
    <w:p w14:paraId="6F88DD89">
      <w:pPr>
        <w:numPr>
          <w:ilvl w:val="0"/>
          <w:numId w:val="19"/>
        </w:numPr>
        <w:ind w:left="102" w:leftChars="0" w:firstLine="602" w:firstLineChars="200"/>
        <w:outlineLvl w:val="2"/>
        <w:rPr>
          <w:rFonts w:hint="eastAsia" w:ascii="Times New Roman" w:hAnsi="Times New Roman" w:cs="Times New Roman"/>
          <w:b/>
          <w:bCs/>
          <w:lang w:val="en-US" w:eastAsia="zh-CN"/>
        </w:rPr>
      </w:pPr>
      <w:r>
        <w:rPr>
          <w:rFonts w:hint="eastAsia" w:ascii="Times New Roman" w:hAnsi="Times New Roman" w:cs="Times New Roman"/>
          <w:b/>
          <w:bCs/>
          <w:lang w:val="en-US" w:eastAsia="zh-CN"/>
        </w:rPr>
        <w:t>人防规划</w:t>
      </w:r>
    </w:p>
    <w:p w14:paraId="2A574B0E">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在镇政府设立防灾减灾指挥办公室，在各村村委会设立救灾指挥中心。</w:t>
      </w:r>
    </w:p>
    <w:p w14:paraId="7F11AA75">
      <w:pPr>
        <w:ind w:firstLine="600" w:firstLineChars="200"/>
        <w:rPr>
          <w:rFonts w:ascii="Times New Roman" w:hAnsi="Times New Roman" w:eastAsia="仿宋_GB2312" w:cs="Times New Roman"/>
          <w:szCs w:val="21"/>
        </w:rPr>
      </w:pPr>
      <w:r>
        <w:rPr>
          <w:rFonts w:ascii="Times New Roman" w:hAnsi="Times New Roman" w:eastAsia="仿宋_GB2312" w:cs="Times New Roman"/>
          <w:sz w:val="30"/>
          <w:szCs w:val="30"/>
        </w:rPr>
        <w:t>结合医疗救护专业队考虑。规划安排</w:t>
      </w:r>
      <w:r>
        <w:rPr>
          <w:rFonts w:hint="eastAsia" w:ascii="Times New Roman" w:hAnsi="Times New Roman" w:cs="Times New Roman"/>
          <w:sz w:val="30"/>
          <w:szCs w:val="30"/>
          <w:lang w:val="en-US" w:eastAsia="zh-CN"/>
        </w:rPr>
        <w:t>镇</w:t>
      </w:r>
      <w:r>
        <w:rPr>
          <w:rFonts w:ascii="Times New Roman" w:hAnsi="Times New Roman" w:eastAsia="仿宋_GB2312" w:cs="Times New Roman"/>
          <w:sz w:val="30"/>
          <w:szCs w:val="30"/>
        </w:rPr>
        <w:t>卫生院和各村卫生室均担负特殊时期医疗救护专业队的任务。</w:t>
      </w:r>
    </w:p>
    <w:p w14:paraId="054BAF89">
      <w:pPr>
        <w:pStyle w:val="2"/>
        <w:numPr>
          <w:ilvl w:val="0"/>
          <w:numId w:val="19"/>
        </w:numPr>
        <w:ind w:left="102" w:leftChars="0" w:firstLine="560" w:firstLineChars="200"/>
        <w:rPr>
          <w:rFonts w:hint="default"/>
          <w:lang w:val="en-US" w:eastAsia="zh-CN"/>
        </w:rPr>
        <w:sectPr>
          <w:headerReference r:id="rId23" w:type="default"/>
          <w:pgSz w:w="11906" w:h="16838"/>
          <w:pgMar w:top="1701" w:right="1418" w:bottom="1531" w:left="1701" w:header="1134" w:footer="737" w:gutter="0"/>
          <w:cols w:space="425" w:num="1"/>
          <w:docGrid w:type="lines" w:linePitch="408" w:charSpace="0"/>
        </w:sectPr>
      </w:pPr>
    </w:p>
    <w:p w14:paraId="5CE2163C">
      <w:pPr>
        <w:pStyle w:val="3"/>
        <w:spacing w:before="312" w:after="156"/>
        <w:rPr>
          <w:b/>
          <w:bCs w:val="0"/>
        </w:rPr>
      </w:pPr>
      <w:bookmarkStart w:id="87" w:name="_Toc152254344"/>
      <w:bookmarkStart w:id="88" w:name="_Toc29495"/>
      <w:bookmarkStart w:id="89" w:name="_Toc17120"/>
      <w:r>
        <w:rPr>
          <w:rFonts w:hint="eastAsia"/>
          <w:b/>
          <w:bCs w:val="0"/>
        </w:rPr>
        <w:t>第</w:t>
      </w:r>
      <w:r>
        <w:rPr>
          <w:rFonts w:hint="eastAsia"/>
          <w:b/>
          <w:bCs w:val="0"/>
          <w:lang w:val="en-US" w:eastAsia="zh-CN"/>
        </w:rPr>
        <w:t>九</w:t>
      </w:r>
      <w:r>
        <w:rPr>
          <w:rFonts w:hint="eastAsia"/>
          <w:b/>
          <w:bCs w:val="0"/>
        </w:rPr>
        <w:t xml:space="preserve">章 </w:t>
      </w:r>
      <w:r>
        <w:rPr>
          <w:b/>
          <w:bCs w:val="0"/>
        </w:rPr>
        <w:t xml:space="preserve"> </w:t>
      </w:r>
      <w:bookmarkEnd w:id="87"/>
      <w:r>
        <w:rPr>
          <w:rFonts w:hint="eastAsia"/>
          <w:b/>
          <w:bCs w:val="0"/>
        </w:rPr>
        <w:t>镇区规划</w:t>
      </w:r>
      <w:bookmarkEnd w:id="88"/>
      <w:bookmarkEnd w:id="89"/>
    </w:p>
    <w:p w14:paraId="77AB2F59">
      <w:pPr>
        <w:pStyle w:val="4"/>
        <w:tabs>
          <w:tab w:val="left" w:pos="420"/>
        </w:tabs>
        <w:spacing w:before="156" w:after="62"/>
      </w:pPr>
      <w:bookmarkStart w:id="90" w:name="_Toc20328"/>
      <w:bookmarkStart w:id="91" w:name="_Toc152254345"/>
      <w:bookmarkStart w:id="92" w:name="_Toc16434"/>
      <w:bookmarkStart w:id="93" w:name="_Toc386"/>
      <w:r>
        <w:rPr>
          <w:rFonts w:hint="eastAsia"/>
        </w:rPr>
        <w:t xml:space="preserve">第一节 </w:t>
      </w:r>
      <w:r>
        <w:t xml:space="preserve"> </w:t>
      </w:r>
      <w:bookmarkEnd w:id="90"/>
      <w:bookmarkEnd w:id="91"/>
      <w:r>
        <w:rPr>
          <w:rFonts w:hint="eastAsia"/>
        </w:rPr>
        <w:t>性质与规模</w:t>
      </w:r>
      <w:bookmarkEnd w:id="92"/>
      <w:bookmarkEnd w:id="93"/>
    </w:p>
    <w:p w14:paraId="234F5A39">
      <w:pPr>
        <w:pStyle w:val="5"/>
        <w:tabs>
          <w:tab w:val="left" w:pos="420"/>
        </w:tabs>
        <w:ind w:firstLine="602"/>
      </w:pPr>
      <w:r>
        <w:rPr>
          <w:rFonts w:hint="eastAsia"/>
        </w:rPr>
        <w:t>一、城镇性质</w:t>
      </w:r>
    </w:p>
    <w:p w14:paraId="141F0A40">
      <w:pPr>
        <w:ind w:firstLine="600"/>
        <w:rPr>
          <w:rFonts w:ascii="Times New Roman" w:hAnsi="Times New Roman"/>
        </w:rPr>
      </w:pPr>
      <w:r>
        <w:rPr>
          <w:rFonts w:hint="eastAsia" w:ascii="Times New Roman" w:hAnsi="Times New Roman"/>
        </w:rPr>
        <w:t>落实县域发展战略新要求，</w:t>
      </w:r>
      <w:r>
        <w:rPr>
          <w:rFonts w:hint="eastAsia" w:ascii="Times New Roman" w:hAnsi="Times New Roman"/>
          <w:lang w:val="en-US" w:eastAsia="zh-CN"/>
        </w:rPr>
        <w:t>落实上位规划确定的发展战略要求，</w:t>
      </w:r>
      <w:r>
        <w:rPr>
          <w:rFonts w:hint="eastAsia" w:ascii="Times New Roman" w:hAnsi="Times New Roman"/>
        </w:rPr>
        <w:t>立足本地资源环境条件，结合红花铺镇镇区的发展现实和职能分析，确定红花铺镇镇区的城镇性质为：</w:t>
      </w:r>
      <w:r>
        <w:rPr>
          <w:rFonts w:hint="eastAsia"/>
        </w:rPr>
        <w:t>以</w:t>
      </w:r>
      <w:r>
        <w:rPr>
          <w:rFonts w:hint="eastAsia"/>
          <w:b/>
          <w:bCs/>
        </w:rPr>
        <w:t>农副产品集聚、供应、镇域综合服务</w:t>
      </w:r>
      <w:r>
        <w:rPr>
          <w:rFonts w:hint="eastAsia"/>
        </w:rPr>
        <w:t>为主的加工及服务业城镇镇区</w:t>
      </w:r>
      <w:r>
        <w:rPr>
          <w:rFonts w:hint="eastAsia" w:ascii="Times New Roman" w:hAnsi="Times New Roman"/>
        </w:rPr>
        <w:t>。</w:t>
      </w:r>
    </w:p>
    <w:p w14:paraId="10BD0CA8">
      <w:pPr>
        <w:ind w:firstLine="602"/>
        <w:rPr>
          <w:rFonts w:ascii="Times New Roman" w:hAnsi="Times New Roman"/>
        </w:rPr>
      </w:pPr>
      <w:r>
        <w:rPr>
          <w:rFonts w:hint="eastAsia"/>
          <w:b/>
          <w:bCs/>
          <w:color w:val="000000" w:themeColor="text1"/>
          <w14:textFill>
            <w14:solidFill>
              <w14:schemeClr w14:val="tx1"/>
            </w14:solidFill>
          </w14:textFill>
        </w:rPr>
        <w:t>农副产品集聚、供应。</w:t>
      </w:r>
      <w:r>
        <w:rPr>
          <w:rFonts w:hint="eastAsia"/>
          <w:color w:val="000000" w:themeColor="text1"/>
          <w14:textFill>
            <w14:solidFill>
              <w14:schemeClr w14:val="tx1"/>
            </w14:solidFill>
          </w14:textFill>
        </w:rPr>
        <w:t>依托现状食用菌种植与简易加工产业发展基础，提升加工水平。探索新的发展模式，实现标准化生产、规范化管理和品牌化营销</w:t>
      </w:r>
      <w:r>
        <w:rPr>
          <w:rFonts w:hint="eastAsia" w:ascii="Times New Roman" w:hAnsi="Times New Roman"/>
        </w:rPr>
        <w:t>。</w:t>
      </w:r>
    </w:p>
    <w:p w14:paraId="7528FAB5">
      <w:pPr>
        <w:ind w:firstLine="602"/>
        <w:rPr>
          <w:rFonts w:hint="eastAsia" w:ascii="Times New Roman" w:hAnsi="Times New Roman"/>
          <w:b/>
          <w:bCs/>
        </w:rPr>
      </w:pPr>
      <w:r>
        <w:rPr>
          <w:rFonts w:hint="eastAsia" w:ascii="Times New Roman" w:hAnsi="Times New Roman"/>
          <w:b/>
          <w:bCs/>
        </w:rPr>
        <w:t>镇域综合服务。</w:t>
      </w:r>
      <w:r>
        <w:rPr>
          <w:rFonts w:hint="eastAsia" w:ascii="Times New Roman" w:hAnsi="Times New Roman"/>
          <w:b w:val="0"/>
          <w:bCs w:val="0"/>
        </w:rPr>
        <w:t>根据镇域村庄公共服务设施需求，不断完善镇区综合服务水平，加强镇区基础设施建设力度，为镇域村庄居民公共服务、产业发展提供有力保障。</w:t>
      </w:r>
    </w:p>
    <w:p w14:paraId="7FAF0B45">
      <w:pPr>
        <w:pStyle w:val="5"/>
        <w:tabs>
          <w:tab w:val="left" w:pos="420"/>
        </w:tabs>
        <w:ind w:firstLine="602"/>
      </w:pPr>
      <w:r>
        <w:rPr>
          <w:rFonts w:hint="eastAsia"/>
        </w:rPr>
        <w:t>二、发展规模</w:t>
      </w:r>
    </w:p>
    <w:p w14:paraId="012D2DDE">
      <w:pPr>
        <w:ind w:firstLine="600"/>
        <w:rPr>
          <w:rFonts w:ascii="Times New Roman" w:hAnsi="Times New Roman"/>
        </w:rPr>
      </w:pPr>
      <w:r>
        <w:rPr>
          <w:rFonts w:ascii="Times New Roman" w:hAnsi="Times New Roman"/>
        </w:rPr>
        <w:t>到2035年，红花铺镇镇区</w:t>
      </w:r>
      <w:r>
        <w:rPr>
          <w:rFonts w:hint="eastAsia" w:ascii="Times New Roman" w:hAnsi="Times New Roman"/>
        </w:rPr>
        <w:t>规划</w:t>
      </w:r>
      <w:r>
        <w:rPr>
          <w:rFonts w:ascii="Times New Roman" w:hAnsi="Times New Roman"/>
        </w:rPr>
        <w:t>常住人口1000人。根据红花铺镇镇政府驻地划定镇区范围66.71公顷，其中城镇开发边界13.24公顷，均为集</w:t>
      </w:r>
      <w:r>
        <w:rPr>
          <w:rFonts w:hint="eastAsia" w:ascii="Times New Roman" w:hAnsi="Times New Roman"/>
        </w:rPr>
        <w:t>中</w:t>
      </w:r>
      <w:r>
        <w:rPr>
          <w:rFonts w:ascii="Times New Roman" w:hAnsi="Times New Roman"/>
        </w:rPr>
        <w:t>建设区。</w:t>
      </w:r>
    </w:p>
    <w:p w14:paraId="13F3F7A3">
      <w:pPr>
        <w:pStyle w:val="4"/>
        <w:tabs>
          <w:tab w:val="left" w:pos="420"/>
        </w:tabs>
        <w:spacing w:before="156" w:after="62"/>
      </w:pPr>
      <w:bookmarkStart w:id="94" w:name="_Toc11055"/>
      <w:bookmarkStart w:id="95" w:name="_Toc15702"/>
      <w:r>
        <w:rPr>
          <w:rFonts w:hint="eastAsia"/>
        </w:rPr>
        <w:t xml:space="preserve">第二节 </w:t>
      </w:r>
      <w:r>
        <w:t xml:space="preserve"> </w:t>
      </w:r>
      <w:r>
        <w:rPr>
          <w:rFonts w:hint="eastAsia"/>
        </w:rPr>
        <w:t>功能结构和用地布局</w:t>
      </w:r>
      <w:bookmarkEnd w:id="94"/>
      <w:bookmarkEnd w:id="95"/>
    </w:p>
    <w:p w14:paraId="7254D760">
      <w:pPr>
        <w:pStyle w:val="5"/>
        <w:tabs>
          <w:tab w:val="left" w:pos="420"/>
        </w:tabs>
        <w:ind w:firstLine="602"/>
      </w:pPr>
      <w:r>
        <w:rPr>
          <w:rFonts w:hint="eastAsia"/>
        </w:rPr>
        <w:t>一、功能结构</w:t>
      </w:r>
    </w:p>
    <w:p w14:paraId="7C56E011">
      <w:pPr>
        <w:ind w:firstLine="600"/>
        <w:rPr>
          <w:rFonts w:hint="eastAsia"/>
        </w:rPr>
      </w:pPr>
      <w:r>
        <w:rPr>
          <w:rFonts w:hint="eastAsia"/>
        </w:rPr>
        <w:t>充分考虑现状发展情况，强化各要素集聚，以塑造“山、水、城”相结合的城镇，规划形成</w:t>
      </w:r>
      <w:r>
        <w:rPr>
          <w:rFonts w:hint="eastAsia"/>
          <w:b/>
          <w:bCs/>
        </w:rPr>
        <w:t>“一轴三片区”</w:t>
      </w:r>
      <w:r>
        <w:rPr>
          <w:rFonts w:hint="eastAsia"/>
        </w:rPr>
        <w:t>的功能结构。</w:t>
      </w:r>
    </w:p>
    <w:p w14:paraId="098C425C">
      <w:pPr>
        <w:ind w:firstLine="600"/>
        <w:rPr>
          <w:rFonts w:hint="eastAsia"/>
        </w:rPr>
      </w:pPr>
      <w:r>
        <w:rPr>
          <w:rFonts w:hint="eastAsia"/>
        </w:rPr>
        <w:t>一轴：依托过境公路</w:t>
      </w:r>
      <w:r>
        <w:rPr>
          <w:rFonts w:hint="eastAsia"/>
          <w:lang w:eastAsia="zh-CN"/>
        </w:rPr>
        <w:t>S219</w:t>
      </w:r>
      <w:r>
        <w:rPr>
          <w:rFonts w:hint="eastAsia"/>
        </w:rPr>
        <w:t>，带动镇区南北区域发展，形成空间联动发展轴。</w:t>
      </w:r>
    </w:p>
    <w:p w14:paraId="039A43AF">
      <w:pPr>
        <w:ind w:firstLine="600"/>
        <w:rPr>
          <w:rFonts w:hint="eastAsia"/>
        </w:rPr>
      </w:pPr>
      <w:r>
        <w:rPr>
          <w:rFonts w:hint="eastAsia"/>
        </w:rPr>
        <w:t>三片区：</w:t>
      </w:r>
      <w:r>
        <w:rPr>
          <w:rFonts w:hint="eastAsia"/>
          <w:color w:val="000000" w:themeColor="text1"/>
          <w14:textFill>
            <w14:solidFill>
              <w14:schemeClr w14:val="tx1"/>
            </w14:solidFill>
          </w14:textFill>
        </w:rPr>
        <w:t>嘉陵江右岸农旅区、嘉陵江左岸菌菇业发展区、</w:t>
      </w:r>
      <w:r>
        <w:rPr>
          <w:rFonts w:hint="eastAsia"/>
          <w:color w:val="000000" w:themeColor="text1"/>
          <w:lang w:eastAsia="zh-CN"/>
          <w14:textFill>
            <w14:solidFill>
              <w14:schemeClr w14:val="tx1"/>
            </w14:solidFill>
          </w14:textFill>
        </w:rPr>
        <w:t>公共综合服务区</w:t>
      </w:r>
      <w:r>
        <w:rPr>
          <w:rFonts w:hint="eastAsia"/>
        </w:rPr>
        <w:t>。</w:t>
      </w:r>
    </w:p>
    <w:p w14:paraId="05C01B4E">
      <w:pPr>
        <w:ind w:firstLine="600"/>
        <w:rPr>
          <w:rFonts w:hint="eastAsia"/>
        </w:rPr>
      </w:pPr>
      <w:r>
        <w:rPr>
          <w:rFonts w:hint="eastAsia"/>
        </w:rPr>
        <w:t>——</w:t>
      </w:r>
      <w:r>
        <w:rPr>
          <w:rFonts w:hint="eastAsia"/>
          <w:b/>
          <w:bCs/>
        </w:rPr>
        <w:t>嘉陵江</w:t>
      </w:r>
      <w:r>
        <w:rPr>
          <w:rFonts w:hint="eastAsia"/>
          <w:b/>
          <w:bCs/>
          <w:lang w:val="en-US" w:eastAsia="zh-CN"/>
        </w:rPr>
        <w:t>右</w:t>
      </w:r>
      <w:r>
        <w:rPr>
          <w:rFonts w:hint="eastAsia"/>
          <w:b/>
          <w:bCs/>
        </w:rPr>
        <w:t>岸农旅区。</w:t>
      </w:r>
      <w:r>
        <w:rPr>
          <w:rFonts w:hint="eastAsia"/>
        </w:rPr>
        <w:t>位于镇区和嘉陵江</w:t>
      </w:r>
      <w:r>
        <w:rPr>
          <w:rFonts w:hint="eastAsia"/>
          <w:lang w:val="en-US" w:eastAsia="zh-CN"/>
        </w:rPr>
        <w:t>右岸</w:t>
      </w:r>
      <w:r>
        <w:rPr>
          <w:rFonts w:hint="eastAsia"/>
        </w:rPr>
        <w:t>以北区域。该区以农业种植结合旅游的发展方式，形成农旅融合发展区。</w:t>
      </w:r>
    </w:p>
    <w:p w14:paraId="1FB18AD2">
      <w:pPr>
        <w:ind w:firstLine="600"/>
        <w:rPr>
          <w:rFonts w:hint="eastAsia"/>
        </w:rPr>
      </w:pPr>
      <w:r>
        <w:rPr>
          <w:rFonts w:hint="eastAsia"/>
        </w:rPr>
        <w:t>——</w:t>
      </w:r>
      <w:r>
        <w:rPr>
          <w:rFonts w:hint="eastAsia"/>
          <w:b/>
          <w:bCs/>
        </w:rPr>
        <w:t>嘉陵江左岸菌菇业发展区。</w:t>
      </w:r>
      <w:r>
        <w:rPr>
          <w:rFonts w:hint="eastAsia"/>
        </w:rPr>
        <w:t>位于镇区和嘉陵江左岸以西区域。依托镇域食用菌种植产业，形成主要以食用菌产业加工为主的加工业发展区。</w:t>
      </w:r>
    </w:p>
    <w:p w14:paraId="7685193C">
      <w:pPr>
        <w:ind w:firstLine="600"/>
        <w:rPr>
          <w:rFonts w:hint="eastAsia"/>
        </w:rPr>
      </w:pPr>
      <w:r>
        <w:rPr>
          <w:rFonts w:hint="eastAsia"/>
        </w:rPr>
        <w:t>——</w:t>
      </w:r>
      <w:r>
        <w:rPr>
          <w:rFonts w:hint="eastAsia"/>
          <w:b/>
          <w:bCs/>
          <w:lang w:eastAsia="zh-CN"/>
        </w:rPr>
        <w:t>公共综合服务区</w:t>
      </w:r>
      <w:r>
        <w:rPr>
          <w:rFonts w:hint="eastAsia"/>
        </w:rPr>
        <w:t>。位于现状镇区区域。该区以公共服务、文化娱乐、居住等功能为主，建设服务全镇的服务区。</w:t>
      </w:r>
    </w:p>
    <w:p w14:paraId="283511AE">
      <w:pPr>
        <w:pStyle w:val="5"/>
        <w:tabs>
          <w:tab w:val="left" w:pos="420"/>
        </w:tabs>
        <w:ind w:firstLine="602"/>
      </w:pPr>
      <w:r>
        <w:rPr>
          <w:rFonts w:hint="eastAsia"/>
        </w:rPr>
        <w:t>二、用地布局</w:t>
      </w:r>
    </w:p>
    <w:p w14:paraId="32725C20">
      <w:pPr>
        <w:ind w:firstLine="602"/>
        <w:rPr>
          <w:rFonts w:ascii="Times New Roman" w:hAnsi="Times New Roman"/>
        </w:rPr>
      </w:pPr>
      <w:r>
        <w:rPr>
          <w:rFonts w:ascii="Times New Roman" w:hAnsi="Times New Roman"/>
          <w:b/>
          <w:bCs/>
        </w:rPr>
        <w:t>居住用地。</w:t>
      </w:r>
      <w:r>
        <w:rPr>
          <w:rFonts w:ascii="Times New Roman" w:hAnsi="Times New Roman"/>
        </w:rPr>
        <w:t>到2035年，城镇住宅用地3.</w:t>
      </w:r>
      <w:r>
        <w:rPr>
          <w:rFonts w:hint="eastAsia" w:ascii="Times New Roman" w:hAnsi="Times New Roman"/>
        </w:rPr>
        <w:t>98</w:t>
      </w:r>
      <w:r>
        <w:rPr>
          <w:rFonts w:ascii="Times New Roman" w:hAnsi="Times New Roman"/>
        </w:rPr>
        <w:t>公顷，占镇区集中建设区面积的</w:t>
      </w:r>
      <w:r>
        <w:rPr>
          <w:rFonts w:hint="eastAsia" w:ascii="Times New Roman" w:hAnsi="Times New Roman"/>
        </w:rPr>
        <w:t>30.05</w:t>
      </w:r>
      <w:r>
        <w:rPr>
          <w:rFonts w:ascii="Times New Roman" w:hAnsi="Times New Roman"/>
        </w:rPr>
        <w:t>%。城镇住宅用地主要布局在红花铺镇人民政府周边。</w:t>
      </w:r>
    </w:p>
    <w:p w14:paraId="32CF08DC">
      <w:pPr>
        <w:ind w:firstLine="602"/>
        <w:rPr>
          <w:rFonts w:ascii="Times New Roman" w:hAnsi="Times New Roman"/>
        </w:rPr>
      </w:pPr>
      <w:r>
        <w:rPr>
          <w:rFonts w:ascii="Times New Roman" w:hAnsi="Times New Roman"/>
          <w:b/>
          <w:bCs/>
        </w:rPr>
        <w:t>公共管理与公共服务用地。</w:t>
      </w:r>
      <w:r>
        <w:rPr>
          <w:rFonts w:ascii="Times New Roman" w:hAnsi="Times New Roman"/>
        </w:rPr>
        <w:t>到2035年，公共管理与公共服务用地1.6</w:t>
      </w:r>
      <w:r>
        <w:rPr>
          <w:rFonts w:hint="eastAsia" w:ascii="Times New Roman" w:hAnsi="Times New Roman"/>
        </w:rPr>
        <w:t>0</w:t>
      </w:r>
      <w:r>
        <w:rPr>
          <w:rFonts w:ascii="Times New Roman" w:hAnsi="Times New Roman"/>
        </w:rPr>
        <w:t>公顷，占镇区集中建设区面积的12.</w:t>
      </w:r>
      <w:r>
        <w:rPr>
          <w:rFonts w:hint="eastAsia" w:ascii="Times New Roman" w:hAnsi="Times New Roman"/>
        </w:rPr>
        <w:t>0</w:t>
      </w:r>
      <w:r>
        <w:rPr>
          <w:rFonts w:ascii="Times New Roman" w:hAnsi="Times New Roman"/>
        </w:rPr>
        <w:t>8%。</w:t>
      </w:r>
    </w:p>
    <w:p w14:paraId="363FC14D">
      <w:pPr>
        <w:ind w:firstLine="602"/>
        <w:rPr>
          <w:rFonts w:hint="eastAsia" w:ascii="Times New Roman" w:hAnsi="Times New Roman"/>
          <w:lang w:val="en-US" w:eastAsia="zh-CN"/>
        </w:rPr>
      </w:pPr>
      <w:r>
        <w:rPr>
          <w:rFonts w:hint="eastAsia" w:ascii="Times New Roman" w:hAnsi="Times New Roman"/>
          <w:lang w:val="en-US" w:eastAsia="zh-CN"/>
        </w:rPr>
        <w:t>规划保留并扩建镇政府、村委会等机关团体用地。到2035年，镇区机关团体用地面积达到0.48公顷，占镇区面积的3.62%。</w:t>
      </w:r>
    </w:p>
    <w:p w14:paraId="4535349C">
      <w:pPr>
        <w:ind w:firstLine="602"/>
        <w:rPr>
          <w:rFonts w:hint="eastAsia" w:ascii="Times New Roman" w:hAnsi="Times New Roman"/>
          <w:lang w:val="en-US" w:eastAsia="zh-CN"/>
        </w:rPr>
      </w:pPr>
      <w:r>
        <w:rPr>
          <w:rFonts w:hint="eastAsia" w:ascii="Times New Roman" w:hAnsi="Times New Roman"/>
          <w:lang w:val="en-US" w:eastAsia="zh-CN"/>
        </w:rPr>
        <w:t>规划保留并缩减镇区文化站。到2035年，文镇区文化用地达到0.04公顷，占镇区面积的0.38%。</w:t>
      </w:r>
    </w:p>
    <w:p w14:paraId="4FCFE164">
      <w:pPr>
        <w:rPr>
          <w:rFonts w:hint="eastAsia" w:ascii="Times New Roman" w:hAnsi="Times New Roman"/>
          <w:color w:val="auto"/>
          <w:lang w:val="en-US" w:eastAsia="zh-CN"/>
        </w:rPr>
      </w:pPr>
      <w:r>
        <w:rPr>
          <w:rFonts w:hint="eastAsia" w:ascii="Times New Roman" w:hAnsi="Times New Roman"/>
          <w:color w:val="auto"/>
          <w:lang w:val="en-US" w:eastAsia="zh-CN"/>
        </w:rPr>
        <w:t>规划</w:t>
      </w:r>
      <w:r>
        <w:rPr>
          <w:rFonts w:hint="eastAsia" w:ascii="Times New Roman" w:hAnsi="Times New Roman"/>
          <w:lang w:val="en-US" w:eastAsia="zh-CN"/>
        </w:rPr>
        <w:t>保留并缩减</w:t>
      </w:r>
      <w:r>
        <w:rPr>
          <w:rFonts w:hint="eastAsia" w:ascii="Times New Roman" w:hAnsi="Times New Roman"/>
          <w:color w:val="auto"/>
          <w:lang w:val="en-US" w:eastAsia="zh-CN"/>
        </w:rPr>
        <w:t>中小学、幼儿园，部分变为医疗卫生用地。到2035年，镇区教育用地</w:t>
      </w:r>
      <w:r>
        <w:rPr>
          <w:rFonts w:ascii="Times New Roman" w:hAnsi="Times New Roman"/>
          <w:color w:val="auto"/>
        </w:rPr>
        <w:t>面积</w:t>
      </w:r>
      <w:r>
        <w:rPr>
          <w:rFonts w:hint="eastAsia" w:ascii="Times New Roman" w:hAnsi="Times New Roman"/>
          <w:color w:val="auto"/>
          <w:lang w:val="en-US" w:eastAsia="zh-CN"/>
        </w:rPr>
        <w:t>达到</w:t>
      </w:r>
      <w:r>
        <w:rPr>
          <w:rFonts w:ascii="Times New Roman" w:hAnsi="Times New Roman"/>
          <w:color w:val="auto"/>
        </w:rPr>
        <w:t>0</w:t>
      </w:r>
      <w:r>
        <w:rPr>
          <w:rFonts w:hint="eastAsia" w:ascii="Times New Roman" w:hAnsi="Times New Roman"/>
          <w:color w:val="auto"/>
          <w:lang w:val="en-US" w:eastAsia="zh-CN"/>
        </w:rPr>
        <w:t>.86</w:t>
      </w:r>
      <w:r>
        <w:rPr>
          <w:rFonts w:ascii="Times New Roman" w:hAnsi="Times New Roman"/>
          <w:color w:val="auto"/>
        </w:rPr>
        <w:t>公顷</w:t>
      </w:r>
      <w:r>
        <w:rPr>
          <w:rFonts w:hint="eastAsia" w:ascii="Times New Roman" w:hAnsi="Times New Roman"/>
          <w:color w:val="auto"/>
          <w:lang w:eastAsia="zh-CN"/>
        </w:rPr>
        <w:t>，</w:t>
      </w:r>
      <w:r>
        <w:rPr>
          <w:rFonts w:hint="eastAsia" w:ascii="Times New Roman" w:hAnsi="Times New Roman"/>
          <w:color w:val="auto"/>
          <w:lang w:val="en-US" w:eastAsia="zh-CN"/>
        </w:rPr>
        <w:t>占镇区面积的6.42%。</w:t>
      </w:r>
    </w:p>
    <w:p w14:paraId="04E98714">
      <w:pPr>
        <w:ind w:firstLine="602"/>
        <w:rPr>
          <w:rFonts w:ascii="Times New Roman" w:hAnsi="Times New Roman"/>
        </w:rPr>
      </w:pPr>
      <w:r>
        <w:rPr>
          <w:rFonts w:hint="eastAsia" w:ascii="Times New Roman" w:hAnsi="Times New Roman"/>
          <w:lang w:val="en-US" w:eastAsia="zh-CN"/>
        </w:rPr>
        <w:t>规划调整并扩</w:t>
      </w:r>
      <w:r>
        <w:rPr>
          <w:rFonts w:hint="eastAsia" w:ascii="Times New Roman" w:hAnsi="Times New Roman"/>
          <w:color w:val="auto"/>
          <w:lang w:val="en-US" w:eastAsia="zh-CN"/>
        </w:rPr>
        <w:t>建镇中心卫生院位置。</w:t>
      </w:r>
      <w:r>
        <w:rPr>
          <w:rFonts w:hint="eastAsia" w:ascii="Times New Roman" w:hAnsi="Times New Roman"/>
          <w:lang w:val="en-US" w:eastAsia="zh-CN"/>
        </w:rPr>
        <w:t>到2035年，医疗卫生用地面积</w:t>
      </w:r>
      <w:r>
        <w:rPr>
          <w:rFonts w:ascii="Times New Roman" w:hAnsi="Times New Roman"/>
        </w:rPr>
        <w:t>0.22公顷</w:t>
      </w:r>
      <w:r>
        <w:rPr>
          <w:rFonts w:hint="eastAsia" w:ascii="Times New Roman" w:hAnsi="Times New Roman"/>
          <w:lang w:eastAsia="zh-CN"/>
        </w:rPr>
        <w:t>，</w:t>
      </w:r>
      <w:r>
        <w:rPr>
          <w:rFonts w:hint="eastAsia" w:ascii="Times New Roman" w:hAnsi="Times New Roman"/>
          <w:lang w:val="en-US" w:eastAsia="zh-CN"/>
        </w:rPr>
        <w:t>占镇区面积的1.66%</w:t>
      </w:r>
      <w:r>
        <w:rPr>
          <w:rFonts w:ascii="Times New Roman" w:hAnsi="Times New Roman"/>
        </w:rPr>
        <w:t>。</w:t>
      </w:r>
    </w:p>
    <w:p w14:paraId="52EE7B63">
      <w:pPr>
        <w:ind w:firstLine="602"/>
        <w:rPr>
          <w:rFonts w:ascii="Times New Roman" w:hAnsi="Times New Roman"/>
          <w:color w:val="auto"/>
        </w:rPr>
      </w:pPr>
      <w:r>
        <w:rPr>
          <w:rFonts w:ascii="Times New Roman" w:hAnsi="Times New Roman"/>
          <w:b/>
          <w:bCs/>
          <w:color w:val="auto"/>
        </w:rPr>
        <w:t>商业服务业用地。</w:t>
      </w:r>
      <w:r>
        <w:rPr>
          <w:rFonts w:hint="eastAsia" w:ascii="Times New Roman" w:hAnsi="Times New Roman"/>
          <w:b w:val="0"/>
          <w:bCs w:val="0"/>
          <w:color w:val="auto"/>
          <w:lang w:val="en-US" w:eastAsia="zh-CN"/>
        </w:rPr>
        <w:t>规划保留镇区南部加油站及中部红花路西部商业服务业用地。到</w:t>
      </w:r>
      <w:r>
        <w:rPr>
          <w:rFonts w:ascii="Times New Roman" w:hAnsi="Times New Roman"/>
          <w:b w:val="0"/>
          <w:bCs w:val="0"/>
          <w:color w:val="auto"/>
        </w:rPr>
        <w:t>203</w:t>
      </w:r>
      <w:r>
        <w:rPr>
          <w:rFonts w:ascii="Times New Roman" w:hAnsi="Times New Roman"/>
          <w:color w:val="auto"/>
        </w:rPr>
        <w:t>5年，商业服务业用地0.57公顷，占镇区集中建设区面积的4.32%。商业用地主要布局在</w:t>
      </w:r>
      <w:r>
        <w:rPr>
          <w:rFonts w:hint="eastAsia" w:ascii="Times New Roman" w:hAnsi="Times New Roman"/>
          <w:color w:val="auto"/>
          <w:lang w:eastAsia="zh-CN"/>
        </w:rPr>
        <w:t>S219</w:t>
      </w:r>
      <w:r>
        <w:rPr>
          <w:rFonts w:ascii="Times New Roman" w:hAnsi="Times New Roman"/>
          <w:color w:val="auto"/>
        </w:rPr>
        <w:t>周边的居住用地底商处。</w:t>
      </w:r>
    </w:p>
    <w:p w14:paraId="25FF9C06">
      <w:pPr>
        <w:spacing w:line="360" w:lineRule="auto"/>
        <w:ind w:firstLine="602"/>
        <w:rPr>
          <w:rFonts w:ascii="Times New Roman" w:hAnsi="Times New Roman"/>
          <w:color w:val="auto"/>
        </w:rPr>
      </w:pPr>
      <w:r>
        <w:rPr>
          <w:rFonts w:ascii="Times New Roman" w:hAnsi="Times New Roman"/>
          <w:b/>
          <w:bCs/>
          <w:color w:val="auto"/>
        </w:rPr>
        <w:t>交通运输用地。</w:t>
      </w:r>
      <w:r>
        <w:rPr>
          <w:rFonts w:hint="eastAsia" w:cs="Times New Roman"/>
          <w:color w:val="auto"/>
        </w:rPr>
        <w:t>完善镇区路网结构，根据道路等级与功能确定合适的道路红线宽度与断面形式，</w:t>
      </w:r>
      <w:r>
        <w:rPr>
          <w:rFonts w:hint="eastAsia" w:ascii="Times New Roman" w:hAnsi="Times New Roman"/>
          <w:b w:val="0"/>
          <w:bCs w:val="0"/>
          <w:color w:val="auto"/>
          <w:lang w:val="en-US" w:eastAsia="zh-CN"/>
        </w:rPr>
        <w:t>规划在镇区南部红花路旁新建</w:t>
      </w:r>
      <w:r>
        <w:rPr>
          <w:rFonts w:hint="eastAsia" w:cs="Times New Roman"/>
          <w:color w:val="auto"/>
          <w:lang w:val="en-US" w:eastAsia="zh-CN"/>
        </w:rPr>
        <w:t>火车站一处</w:t>
      </w:r>
      <w:r>
        <w:rPr>
          <w:rFonts w:hint="eastAsia" w:cs="Times New Roman"/>
          <w:color w:val="auto"/>
        </w:rPr>
        <w:t>，补充停车场地等交通配套设施</w:t>
      </w:r>
      <w:r>
        <w:rPr>
          <w:rFonts w:hint="eastAsia" w:cs="Times New Roman"/>
          <w:color w:val="auto"/>
          <w:lang w:eastAsia="zh-CN"/>
        </w:rPr>
        <w:t>。</w:t>
      </w:r>
      <w:r>
        <w:rPr>
          <w:rFonts w:ascii="Times New Roman" w:hAnsi="Times New Roman"/>
          <w:color w:val="auto"/>
        </w:rPr>
        <w:t>到2035年，交通运输用地2.99公顷，占镇区集中建设区面积的22.5</w:t>
      </w:r>
      <w:r>
        <w:rPr>
          <w:rFonts w:hint="eastAsia" w:ascii="Times New Roman" w:hAnsi="Times New Roman"/>
          <w:color w:val="auto"/>
          <w:lang w:val="en-US" w:eastAsia="zh-CN"/>
        </w:rPr>
        <w:t>8</w:t>
      </w:r>
      <w:r>
        <w:rPr>
          <w:rFonts w:ascii="Times New Roman" w:hAnsi="Times New Roman"/>
          <w:color w:val="auto"/>
        </w:rPr>
        <w:t>%。其中：城镇村道路用地2.00公顷、对外交通场站用地0.99公顷。</w:t>
      </w:r>
    </w:p>
    <w:p w14:paraId="36FD3AE3">
      <w:pPr>
        <w:spacing w:line="360" w:lineRule="auto"/>
        <w:ind w:firstLine="602"/>
        <w:jc w:val="left"/>
        <w:rPr>
          <w:rFonts w:ascii="Times New Roman" w:hAnsi="Times New Roman"/>
          <w:b w:val="0"/>
          <w:bCs w:val="0"/>
          <w:color w:val="auto"/>
        </w:rPr>
      </w:pPr>
      <w:r>
        <w:rPr>
          <w:rFonts w:hint="eastAsia" w:ascii="Times New Roman" w:hAnsi="Times New Roman"/>
          <w:b/>
          <w:bCs/>
          <w:color w:val="auto"/>
        </w:rPr>
        <w:t>公用设施用地。</w:t>
      </w:r>
      <w:r>
        <w:rPr>
          <w:rFonts w:hint="eastAsia" w:ascii="Times New Roman" w:hAnsi="Times New Roman"/>
          <w:b w:val="0"/>
          <w:bCs w:val="0"/>
          <w:color w:val="auto"/>
        </w:rPr>
        <w:t>规划在镇区北部新建</w:t>
      </w:r>
      <w:r>
        <w:rPr>
          <w:rFonts w:hint="eastAsia" w:ascii="Times New Roman" w:hAnsi="Times New Roman"/>
          <w:b w:val="0"/>
          <w:bCs w:val="0"/>
          <w:color w:val="auto"/>
          <w:lang w:val="en-US" w:eastAsia="zh-CN"/>
        </w:rPr>
        <w:t>气候监测站</w:t>
      </w:r>
      <w:r>
        <w:rPr>
          <w:rFonts w:hint="eastAsia" w:ascii="Times New Roman" w:hAnsi="Times New Roman"/>
          <w:b w:val="0"/>
          <w:bCs w:val="0"/>
          <w:color w:val="auto"/>
        </w:rPr>
        <w:t>、厕所，中部及南部新建污水处理站。到2035年，公用设施用地0.25公顷，占镇区集中建设区面积的1.87%。其中：排水用地0.18公顷、广播电视设施用地0.05公顷、环卫用地0.01公顷。</w:t>
      </w:r>
    </w:p>
    <w:p w14:paraId="7D4979DF">
      <w:pPr>
        <w:ind w:firstLine="602"/>
        <w:rPr>
          <w:rFonts w:ascii="Times New Roman" w:hAnsi="Times New Roman"/>
          <w:color w:val="FF0000"/>
        </w:rPr>
      </w:pPr>
      <w:r>
        <w:rPr>
          <w:rFonts w:ascii="Times New Roman" w:hAnsi="Times New Roman"/>
          <w:b/>
          <w:bCs/>
          <w:color w:val="auto"/>
        </w:rPr>
        <w:t>绿地与开敞空间用地。</w:t>
      </w:r>
      <w:r>
        <w:rPr>
          <w:rFonts w:hint="eastAsia" w:cs="Times New Roman"/>
          <w:color w:val="auto"/>
        </w:rPr>
        <w:t>合理布局城市绿地，按照“综合绿地、社区绿地、口袋公园”三个层级规划布局公共绿地；</w:t>
      </w:r>
      <w:r>
        <w:rPr>
          <w:rFonts w:hint="eastAsia" w:cs="Times New Roman"/>
          <w:color w:val="auto"/>
          <w:lang w:val="en-US" w:eastAsia="zh-CN"/>
        </w:rPr>
        <w:t>增加红花路</w:t>
      </w:r>
      <w:r>
        <w:rPr>
          <w:rFonts w:hint="eastAsia" w:cs="Times New Roman"/>
        </w:rPr>
        <w:t>线的防护绿地</w:t>
      </w:r>
      <w:r>
        <w:rPr>
          <w:rFonts w:hint="eastAsia" w:cs="Times New Roman"/>
          <w:color w:val="auto"/>
          <w:lang w:eastAsia="zh-CN"/>
        </w:rPr>
        <w:t>；</w:t>
      </w:r>
      <w:r>
        <w:rPr>
          <w:rFonts w:hint="eastAsia" w:cs="Times New Roman"/>
          <w:color w:val="auto"/>
          <w:lang w:val="en-US" w:eastAsia="zh-CN"/>
        </w:rPr>
        <w:t>规划新建活动广场一处位于镇区北部</w:t>
      </w:r>
      <w:r>
        <w:rPr>
          <w:rFonts w:hint="eastAsia" w:cs="Times New Roman"/>
          <w:color w:val="auto"/>
          <w:lang w:eastAsia="zh-CN"/>
        </w:rPr>
        <w:t>；</w:t>
      </w:r>
      <w:r>
        <w:rPr>
          <w:rFonts w:ascii="Times New Roman" w:hAnsi="Times New Roman"/>
          <w:color w:val="auto"/>
        </w:rPr>
        <w:t>到2035年，绿地与开敞空间用地1.1</w:t>
      </w:r>
      <w:r>
        <w:rPr>
          <w:rFonts w:hint="eastAsia" w:ascii="Times New Roman" w:hAnsi="Times New Roman"/>
          <w:color w:val="auto"/>
          <w:lang w:val="en-US" w:eastAsia="zh-CN"/>
        </w:rPr>
        <w:t>8</w:t>
      </w:r>
      <w:r>
        <w:rPr>
          <w:rFonts w:ascii="Times New Roman" w:hAnsi="Times New Roman"/>
          <w:color w:val="auto"/>
        </w:rPr>
        <w:t>公顷，占镇区集中建设区面积的8.8</w:t>
      </w:r>
      <w:r>
        <w:rPr>
          <w:rFonts w:hint="eastAsia" w:ascii="Times New Roman" w:hAnsi="Times New Roman"/>
          <w:color w:val="auto"/>
          <w:lang w:val="en-US" w:eastAsia="zh-CN"/>
        </w:rPr>
        <w:t>8</w:t>
      </w:r>
      <w:r>
        <w:rPr>
          <w:rFonts w:ascii="Times New Roman" w:hAnsi="Times New Roman"/>
          <w:color w:val="auto"/>
        </w:rPr>
        <w:t>%。其中公园绿地0.57公顷、防护绿地0.</w:t>
      </w:r>
      <w:r>
        <w:rPr>
          <w:rFonts w:hint="eastAsia" w:ascii="Times New Roman" w:hAnsi="Times New Roman"/>
          <w:color w:val="auto"/>
          <w:lang w:val="en-US" w:eastAsia="zh-CN"/>
        </w:rPr>
        <w:t>38</w:t>
      </w:r>
      <w:r>
        <w:rPr>
          <w:rFonts w:ascii="Times New Roman" w:hAnsi="Times New Roman"/>
          <w:color w:val="auto"/>
        </w:rPr>
        <w:t>公顷、广场用地0.23公顷。</w:t>
      </w:r>
    </w:p>
    <w:p w14:paraId="159E6C07">
      <w:pPr>
        <w:pStyle w:val="4"/>
        <w:tabs>
          <w:tab w:val="left" w:pos="420"/>
        </w:tabs>
        <w:spacing w:before="156" w:after="62"/>
      </w:pPr>
      <w:bookmarkStart w:id="96" w:name="_Toc4657"/>
      <w:bookmarkStart w:id="97" w:name="_Toc27470"/>
      <w:r>
        <w:rPr>
          <w:rFonts w:hint="eastAsia"/>
        </w:rPr>
        <w:t xml:space="preserve">第三节 </w:t>
      </w:r>
      <w:r>
        <w:t xml:space="preserve"> </w:t>
      </w:r>
      <w:r>
        <w:rPr>
          <w:rFonts w:hint="eastAsia"/>
        </w:rPr>
        <w:t>住房建设与人居环境</w:t>
      </w:r>
      <w:bookmarkEnd w:id="96"/>
      <w:bookmarkEnd w:id="97"/>
    </w:p>
    <w:p w14:paraId="1CCD2EB2">
      <w:pPr>
        <w:pStyle w:val="5"/>
        <w:tabs>
          <w:tab w:val="left" w:pos="420"/>
        </w:tabs>
        <w:ind w:firstLine="602"/>
      </w:pPr>
      <w:r>
        <w:rPr>
          <w:rFonts w:hint="eastAsia"/>
        </w:rPr>
        <w:t>一、住房建设</w:t>
      </w:r>
    </w:p>
    <w:p w14:paraId="685EA25E">
      <w:pPr>
        <w:ind w:firstLine="600"/>
        <w:rPr>
          <w:rFonts w:ascii="Times New Roman" w:hAnsi="Times New Roman"/>
        </w:rPr>
      </w:pPr>
      <w:r>
        <w:rPr>
          <w:rFonts w:hint="eastAsia" w:ascii="Times New Roman" w:hAnsi="Times New Roman"/>
        </w:rPr>
        <w:t>结合镇域内的村庄撤并搬迁、镇区城市更新，优化居住用地布局，加强配套设施和环境建设，形成相对完善的住房保障体系。到</w:t>
      </w:r>
      <w:r>
        <w:rPr>
          <w:rFonts w:ascii="Times New Roman" w:hAnsi="Times New Roman"/>
        </w:rPr>
        <w:t>2035年，规划城镇住宅总用地面积3.</w:t>
      </w:r>
      <w:r>
        <w:rPr>
          <w:rFonts w:hint="eastAsia" w:ascii="Times New Roman" w:hAnsi="Times New Roman"/>
        </w:rPr>
        <w:t>98</w:t>
      </w:r>
      <w:r>
        <w:rPr>
          <w:rFonts w:ascii="Times New Roman" w:hAnsi="Times New Roman"/>
        </w:rPr>
        <w:t>公顷</w:t>
      </w:r>
      <w:r>
        <w:rPr>
          <w:rFonts w:hint="eastAsia" w:ascii="Times New Roman" w:hAnsi="Times New Roman"/>
        </w:rPr>
        <w:t>，人均住房面积3</w:t>
      </w:r>
      <w:r>
        <w:rPr>
          <w:rFonts w:ascii="Times New Roman" w:hAnsi="Times New Roman"/>
        </w:rPr>
        <w:t>7.91</w:t>
      </w:r>
      <w:r>
        <w:rPr>
          <w:rFonts w:hint="eastAsia" w:ascii="Times New Roman" w:hAnsi="Times New Roman"/>
        </w:rPr>
        <w:t>平方米，</w:t>
      </w:r>
      <w:r>
        <w:rPr>
          <w:rFonts w:ascii="Times New Roman" w:hAnsi="Times New Roman"/>
        </w:rPr>
        <w:t>主要分布在</w:t>
      </w:r>
      <w:r>
        <w:rPr>
          <w:rFonts w:hint="eastAsia" w:ascii="Times New Roman" w:hAnsi="Times New Roman"/>
        </w:rPr>
        <w:t>红花铺</w:t>
      </w:r>
      <w:r>
        <w:rPr>
          <w:rFonts w:ascii="Times New Roman" w:hAnsi="Times New Roman"/>
        </w:rPr>
        <w:t>镇政府周边和</w:t>
      </w:r>
      <w:r>
        <w:rPr>
          <w:rFonts w:hint="eastAsia" w:ascii="Times New Roman" w:hAnsi="Times New Roman"/>
        </w:rPr>
        <w:t>红花铺火车站对面的区域</w:t>
      </w:r>
      <w:r>
        <w:rPr>
          <w:rFonts w:ascii="Times New Roman" w:hAnsi="Times New Roman"/>
        </w:rPr>
        <w:t>。</w:t>
      </w:r>
    </w:p>
    <w:p w14:paraId="6D7B252E">
      <w:pPr>
        <w:pStyle w:val="5"/>
        <w:tabs>
          <w:tab w:val="left" w:pos="420"/>
        </w:tabs>
        <w:ind w:firstLine="602"/>
      </w:pPr>
      <w:r>
        <w:rPr>
          <w:rFonts w:hint="eastAsia"/>
        </w:rPr>
        <w:t>二、人居环境</w:t>
      </w:r>
    </w:p>
    <w:p w14:paraId="64FC24C3">
      <w:pPr>
        <w:ind w:firstLine="602"/>
        <w:rPr>
          <w:rFonts w:hint="eastAsia"/>
        </w:rPr>
      </w:pPr>
      <w:r>
        <w:rPr>
          <w:rFonts w:hint="eastAsia"/>
          <w:b/>
          <w:bCs/>
        </w:rPr>
        <w:t>老旧居住用地更新改造。</w:t>
      </w:r>
      <w:r>
        <w:rPr>
          <w:rFonts w:hint="eastAsia"/>
        </w:rPr>
        <w:t>结合居民意愿，利用现状废弃村民宅基地和未利用地补充便民商业、养老服务等公共服务设施；进行基础设施配套改造提升，以及小区内配套构筑物屋面、外墙、楼梯等公共部位维修等；利用空地、拆违腾退用地等增加停车位等便民设施。</w:t>
      </w:r>
    </w:p>
    <w:p w14:paraId="76381A82">
      <w:pPr>
        <w:ind w:firstLine="602"/>
      </w:pPr>
      <w:r>
        <w:rPr>
          <w:rFonts w:hint="eastAsia"/>
          <w:b/>
          <w:bCs/>
          <w:lang w:eastAsia="zh-CN"/>
        </w:rPr>
        <w:t>绿化亮化</w:t>
      </w:r>
      <w:r>
        <w:rPr>
          <w:rFonts w:hint="eastAsia"/>
          <w:b/>
          <w:bCs/>
        </w:rPr>
        <w:t>改造。</w:t>
      </w:r>
      <w:r>
        <w:rPr>
          <w:rFonts w:hint="eastAsia"/>
        </w:rPr>
        <w:t>绿化应因地制宜选择本土植被，打造多层次绿化体系，建设公共绿地和游园，推广庭院及屋顶绿化，注重生态修复。亮化方面，推广节能照明设备，分区设计主干道、小巷和广场的照明，结合景观亮化突出地方特色，并引入智能管理系统。</w:t>
      </w:r>
    </w:p>
    <w:p w14:paraId="7F38F975">
      <w:pPr>
        <w:pStyle w:val="4"/>
        <w:tabs>
          <w:tab w:val="left" w:pos="420"/>
        </w:tabs>
        <w:spacing w:before="156" w:after="62"/>
      </w:pPr>
      <w:bookmarkStart w:id="98" w:name="_Toc9005"/>
      <w:bookmarkStart w:id="99" w:name="_Toc19452"/>
      <w:r>
        <w:rPr>
          <w:rFonts w:hint="eastAsia"/>
        </w:rPr>
        <w:t xml:space="preserve">第四节 </w:t>
      </w:r>
      <w:r>
        <w:t xml:space="preserve"> </w:t>
      </w:r>
      <w:r>
        <w:rPr>
          <w:rFonts w:hint="eastAsia"/>
        </w:rPr>
        <w:t>道路交通</w:t>
      </w:r>
      <w:bookmarkEnd w:id="98"/>
      <w:bookmarkEnd w:id="99"/>
    </w:p>
    <w:p w14:paraId="737B35B9">
      <w:pPr>
        <w:pStyle w:val="5"/>
        <w:tabs>
          <w:tab w:val="left" w:pos="420"/>
        </w:tabs>
        <w:ind w:firstLine="602"/>
      </w:pPr>
      <w:r>
        <w:rPr>
          <w:rFonts w:hint="eastAsia"/>
        </w:rPr>
        <w:t>一、镇区对外交通</w:t>
      </w:r>
    </w:p>
    <w:p w14:paraId="27764AB5">
      <w:pPr>
        <w:ind w:firstLine="600"/>
        <w:rPr>
          <w:rFonts w:ascii="Times New Roman" w:hAnsi="Times New Roman"/>
        </w:rPr>
      </w:pPr>
      <w:r>
        <w:rPr>
          <w:rFonts w:ascii="Times New Roman" w:hAnsi="Times New Roman"/>
        </w:rPr>
        <w:t>依托</w:t>
      </w:r>
      <w:r>
        <w:rPr>
          <w:rFonts w:hint="eastAsia" w:ascii="Times New Roman" w:hAnsi="Times New Roman"/>
          <w:lang w:eastAsia="zh-CN"/>
        </w:rPr>
        <w:t>S219</w:t>
      </w:r>
      <w:r>
        <w:rPr>
          <w:rFonts w:ascii="Times New Roman" w:hAnsi="Times New Roman"/>
        </w:rPr>
        <w:t>、</w:t>
      </w:r>
      <w:r>
        <w:rPr>
          <w:rFonts w:hint="eastAsia" w:ascii="Times New Roman" w:hAnsi="Times New Roman"/>
        </w:rPr>
        <w:t>县道</w:t>
      </w:r>
      <w:r>
        <w:rPr>
          <w:rFonts w:ascii="Times New Roman" w:hAnsi="Times New Roman"/>
        </w:rPr>
        <w:t>X251强化与</w:t>
      </w:r>
      <w:r>
        <w:rPr>
          <w:rFonts w:hint="eastAsia" w:ascii="Times New Roman" w:hAnsi="Times New Roman"/>
        </w:rPr>
        <w:t>黄牛铺镇、红花铺镇、县城和宝鸡市的</w:t>
      </w:r>
      <w:r>
        <w:rPr>
          <w:rFonts w:ascii="Times New Roman" w:hAnsi="Times New Roman"/>
        </w:rPr>
        <w:t>交通联系。</w:t>
      </w:r>
    </w:p>
    <w:p w14:paraId="259A9F30">
      <w:pPr>
        <w:pStyle w:val="5"/>
        <w:tabs>
          <w:tab w:val="left" w:pos="420"/>
        </w:tabs>
        <w:ind w:firstLine="602"/>
      </w:pPr>
      <w:r>
        <w:rPr>
          <w:rFonts w:hint="eastAsia"/>
        </w:rPr>
        <w:t>二、镇区内部交通</w:t>
      </w:r>
    </w:p>
    <w:p w14:paraId="3FBB1807">
      <w:pPr>
        <w:ind w:firstLine="600"/>
        <w:rPr>
          <w:rFonts w:ascii="Times New Roman" w:hAnsi="Times New Roman"/>
        </w:rPr>
      </w:pPr>
      <w:r>
        <w:rPr>
          <w:rFonts w:ascii="Times New Roman" w:hAnsi="Times New Roman"/>
        </w:rPr>
        <w:t>到2035年，镇区形成以红花路、红唐双路、陵江北路为主干路的</w:t>
      </w:r>
      <w:r>
        <w:rPr>
          <w:rFonts w:hint="eastAsia" w:ascii="Times New Roman" w:hAnsi="Times New Roman"/>
        </w:rPr>
        <w:t>镇区</w:t>
      </w:r>
      <w:r>
        <w:rPr>
          <w:rFonts w:ascii="Times New Roman" w:hAnsi="Times New Roman"/>
        </w:rPr>
        <w:t>路网</w:t>
      </w:r>
      <w:r>
        <w:rPr>
          <w:rFonts w:hint="eastAsia" w:ascii="Times New Roman" w:hAnsi="Times New Roman"/>
        </w:rPr>
        <w:t>等级</w:t>
      </w:r>
      <w:r>
        <w:rPr>
          <w:rFonts w:ascii="Times New Roman" w:hAnsi="Times New Roman"/>
        </w:rPr>
        <w:t>。</w:t>
      </w:r>
    </w:p>
    <w:p w14:paraId="0B8CC292">
      <w:pPr>
        <w:ind w:firstLine="600"/>
        <w:rPr>
          <w:rFonts w:ascii="Times New Roman" w:hAnsi="Times New Roman"/>
        </w:rPr>
      </w:pPr>
      <w:r>
        <w:rPr>
          <w:rFonts w:ascii="Times New Roman" w:hAnsi="Times New Roman"/>
        </w:rPr>
        <w:t>主干路红线宽度10-12米，车流量较大，道路通行能力较强，车速较高，主要采用双向车道的断面形式。</w:t>
      </w:r>
    </w:p>
    <w:p w14:paraId="291B9546">
      <w:pPr>
        <w:ind w:firstLine="600"/>
        <w:rPr>
          <w:rFonts w:ascii="Times New Roman" w:hAnsi="Times New Roman"/>
        </w:rPr>
      </w:pPr>
      <w:r>
        <w:rPr>
          <w:rFonts w:hint="eastAsia" w:ascii="Times New Roman" w:hAnsi="Times New Roman"/>
        </w:rPr>
        <w:t>次干路</w:t>
      </w:r>
      <w:r>
        <w:rPr>
          <w:rFonts w:ascii="Times New Roman" w:hAnsi="Times New Roman"/>
        </w:rPr>
        <w:t>红线宽度</w:t>
      </w:r>
      <w:r>
        <w:rPr>
          <w:rFonts w:hint="eastAsia" w:ascii="Times New Roman" w:hAnsi="Times New Roman"/>
        </w:rPr>
        <w:t>6</w:t>
      </w:r>
      <w:r>
        <w:rPr>
          <w:rFonts w:ascii="Times New Roman" w:hAnsi="Times New Roman"/>
        </w:rPr>
        <w:t>-10米</w:t>
      </w:r>
      <w:r>
        <w:rPr>
          <w:rFonts w:hint="eastAsia" w:ascii="Times New Roman" w:hAnsi="Times New Roman"/>
        </w:rPr>
        <w:t>，车流量相对较大，道路连结能力较重要，车速中等。主要采用双向车道的断面形式。</w:t>
      </w:r>
    </w:p>
    <w:p w14:paraId="434431FC">
      <w:pPr>
        <w:ind w:firstLine="600"/>
        <w:rPr>
          <w:rFonts w:ascii="Times New Roman" w:hAnsi="Times New Roman"/>
        </w:rPr>
      </w:pPr>
      <w:r>
        <w:rPr>
          <w:rFonts w:ascii="Times New Roman" w:hAnsi="Times New Roman"/>
        </w:rPr>
        <w:t>支路红线宽度</w:t>
      </w:r>
      <w:r>
        <w:rPr>
          <w:rFonts w:hint="eastAsia" w:ascii="Times New Roman" w:hAnsi="Times New Roman"/>
        </w:rPr>
        <w:t>4</w:t>
      </w:r>
      <w:r>
        <w:rPr>
          <w:rFonts w:ascii="Times New Roman" w:hAnsi="Times New Roman"/>
        </w:rPr>
        <w:t>-</w:t>
      </w:r>
      <w:r>
        <w:rPr>
          <w:rFonts w:hint="eastAsia" w:ascii="Times New Roman" w:hAnsi="Times New Roman"/>
        </w:rPr>
        <w:t>6</w:t>
      </w:r>
      <w:r>
        <w:rPr>
          <w:rFonts w:ascii="Times New Roman" w:hAnsi="Times New Roman"/>
        </w:rPr>
        <w:t>米</w:t>
      </w:r>
      <w:r>
        <w:rPr>
          <w:rFonts w:hint="eastAsia" w:ascii="Times New Roman" w:hAnsi="Times New Roman"/>
        </w:rPr>
        <w:t>，</w:t>
      </w:r>
      <w:r>
        <w:rPr>
          <w:rFonts w:ascii="Times New Roman" w:hAnsi="Times New Roman"/>
        </w:rPr>
        <w:t>车流量较小，主要为组团内部通行，车速一般</w:t>
      </w:r>
      <w:r>
        <w:rPr>
          <w:rFonts w:hint="eastAsia" w:ascii="Times New Roman" w:hAnsi="Times New Roman"/>
        </w:rPr>
        <w:t>。</w:t>
      </w:r>
      <w:r>
        <w:rPr>
          <w:rFonts w:ascii="Times New Roman" w:hAnsi="Times New Roman"/>
        </w:rPr>
        <w:t>主要采用</w:t>
      </w:r>
      <w:r>
        <w:rPr>
          <w:rFonts w:hint="eastAsia" w:ascii="Times New Roman" w:hAnsi="Times New Roman"/>
        </w:rPr>
        <w:t>部分单向道与部分</w:t>
      </w:r>
      <w:r>
        <w:rPr>
          <w:rFonts w:ascii="Times New Roman" w:hAnsi="Times New Roman"/>
        </w:rPr>
        <w:t>双向两车道断面形式。</w:t>
      </w:r>
    </w:p>
    <w:p w14:paraId="114164CE">
      <w:pPr>
        <w:ind w:firstLine="602"/>
        <w:rPr>
          <w:rFonts w:ascii="Times New Roman" w:hAnsi="Times New Roman"/>
          <w:b/>
          <w:bCs/>
        </w:rPr>
      </w:pPr>
      <w:r>
        <w:rPr>
          <w:rFonts w:hint="eastAsia" w:ascii="Times New Roman" w:hAnsi="Times New Roman"/>
          <w:b/>
          <w:bCs/>
        </w:rPr>
        <w:t>城镇道路网密度。</w:t>
      </w:r>
      <w:r>
        <w:rPr>
          <w:rFonts w:hint="eastAsia" w:ascii="Times New Roman" w:hAnsi="Times New Roman"/>
          <w:b w:val="0"/>
          <w:bCs w:val="0"/>
        </w:rPr>
        <w:t>主干路网密度</w:t>
      </w:r>
      <w:r>
        <w:rPr>
          <w:rFonts w:ascii="Times New Roman" w:hAnsi="Times New Roman"/>
          <w:b w:val="0"/>
          <w:bCs w:val="0"/>
        </w:rPr>
        <w:t>7.10</w:t>
      </w:r>
      <w:r>
        <w:rPr>
          <w:rFonts w:hint="eastAsia" w:ascii="Times New Roman" w:hAnsi="Times New Roman"/>
          <w:b w:val="0"/>
          <w:bCs w:val="0"/>
        </w:rPr>
        <w:t>千米</w:t>
      </w:r>
      <w:r>
        <w:rPr>
          <w:rFonts w:ascii="Times New Roman" w:hAnsi="Times New Roman"/>
          <w:b w:val="0"/>
          <w:bCs w:val="0"/>
        </w:rPr>
        <w:t>/</w:t>
      </w:r>
      <w:r>
        <w:rPr>
          <w:rFonts w:hint="eastAsia" w:ascii="Times New Roman" w:hAnsi="Times New Roman"/>
          <w:b w:val="0"/>
          <w:bCs w:val="0"/>
        </w:rPr>
        <w:t>平方千米，次干路网密度</w:t>
      </w:r>
      <w:r>
        <w:rPr>
          <w:rFonts w:ascii="Times New Roman" w:hAnsi="Times New Roman"/>
          <w:b w:val="0"/>
          <w:bCs w:val="0"/>
        </w:rPr>
        <w:t>3.35</w:t>
      </w:r>
      <w:r>
        <w:rPr>
          <w:rFonts w:hint="eastAsia" w:ascii="Times New Roman" w:hAnsi="Times New Roman"/>
          <w:b w:val="0"/>
          <w:bCs w:val="0"/>
        </w:rPr>
        <w:t>千米</w:t>
      </w:r>
      <w:r>
        <w:rPr>
          <w:rFonts w:ascii="Times New Roman" w:hAnsi="Times New Roman"/>
          <w:b w:val="0"/>
          <w:bCs w:val="0"/>
        </w:rPr>
        <w:t>/</w:t>
      </w:r>
      <w:r>
        <w:rPr>
          <w:rFonts w:hint="eastAsia" w:ascii="Times New Roman" w:hAnsi="Times New Roman"/>
          <w:b w:val="0"/>
          <w:bCs w:val="0"/>
        </w:rPr>
        <w:t>平方千米。</w:t>
      </w:r>
    </w:p>
    <w:p w14:paraId="1485301F">
      <w:pPr>
        <w:ind w:firstLine="602"/>
        <w:rPr>
          <w:rFonts w:ascii="Times New Roman" w:hAnsi="Times New Roman"/>
        </w:rPr>
      </w:pPr>
      <w:r>
        <w:rPr>
          <w:rFonts w:ascii="Times New Roman" w:hAnsi="Times New Roman"/>
          <w:b/>
          <w:bCs/>
        </w:rPr>
        <w:t>城</w:t>
      </w:r>
      <w:r>
        <w:rPr>
          <w:rFonts w:hint="eastAsia" w:ascii="Times New Roman" w:hAnsi="Times New Roman"/>
          <w:b/>
          <w:bCs/>
        </w:rPr>
        <w:t>镇</w:t>
      </w:r>
      <w:r>
        <w:rPr>
          <w:rFonts w:ascii="Times New Roman" w:hAnsi="Times New Roman"/>
          <w:b/>
          <w:bCs/>
        </w:rPr>
        <w:t>公共交通。</w:t>
      </w:r>
      <w:r>
        <w:rPr>
          <w:rFonts w:ascii="Times New Roman" w:hAnsi="Times New Roman"/>
        </w:rPr>
        <w:t>构建以主干道红花路为骨架的公交线路。保留现状1处公交站点，为居民和旅游人员出行提供便利。</w:t>
      </w:r>
    </w:p>
    <w:p w14:paraId="1D99B7E6">
      <w:pPr>
        <w:ind w:firstLine="602"/>
        <w:rPr>
          <w:rFonts w:ascii="Times New Roman" w:hAnsi="Times New Roman"/>
          <w:b/>
          <w:bCs/>
        </w:rPr>
      </w:pPr>
      <w:r>
        <w:rPr>
          <w:rFonts w:ascii="Times New Roman" w:hAnsi="Times New Roman"/>
          <w:b/>
          <w:bCs/>
        </w:rPr>
        <w:t>交通设施。</w:t>
      </w:r>
      <w:r>
        <w:rPr>
          <w:rFonts w:ascii="Times New Roman" w:hAnsi="Times New Roman"/>
          <w:szCs w:val="30"/>
        </w:rPr>
        <w:t>完善交通设施布局，保障加油</w:t>
      </w:r>
      <w:r>
        <w:rPr>
          <w:rFonts w:hint="eastAsia" w:ascii="Times New Roman" w:hAnsi="Times New Roman"/>
          <w:szCs w:val="30"/>
        </w:rPr>
        <w:t>站</w:t>
      </w:r>
      <w:r>
        <w:rPr>
          <w:rFonts w:ascii="Times New Roman" w:hAnsi="Times New Roman"/>
          <w:szCs w:val="30"/>
        </w:rPr>
        <w:t>设施、公共停车设施建设。</w:t>
      </w:r>
    </w:p>
    <w:p w14:paraId="25F5F88B">
      <w:pPr>
        <w:ind w:firstLine="600"/>
        <w:rPr>
          <w:rFonts w:ascii="Times New Roman" w:hAnsi="Times New Roman"/>
        </w:rPr>
      </w:pPr>
      <w:r>
        <w:rPr>
          <w:rFonts w:ascii="Times New Roman" w:hAnsi="Times New Roman"/>
        </w:rPr>
        <w:t>——加油站。保留现状位于</w:t>
      </w:r>
      <w:r>
        <w:rPr>
          <w:rFonts w:hint="eastAsia" w:ascii="Times New Roman" w:hAnsi="Times New Roman"/>
        </w:rPr>
        <w:t>镇区南部</w:t>
      </w:r>
      <w:r>
        <w:rPr>
          <w:rFonts w:ascii="Times New Roman" w:hAnsi="Times New Roman"/>
        </w:rPr>
        <w:t>的加油站</w:t>
      </w:r>
      <w:r>
        <w:rPr>
          <w:rFonts w:hint="eastAsia" w:ascii="Times New Roman" w:hAnsi="Times New Roman"/>
        </w:rPr>
        <w:t>。</w:t>
      </w:r>
    </w:p>
    <w:p w14:paraId="7C24EEA4">
      <w:pPr>
        <w:ind w:firstLine="600"/>
        <w:rPr>
          <w:rFonts w:ascii="Times New Roman" w:hAnsi="Times New Roman"/>
          <w:szCs w:val="30"/>
        </w:rPr>
      </w:pPr>
      <w:r>
        <w:rPr>
          <w:rFonts w:ascii="Times New Roman" w:hAnsi="Times New Roman"/>
          <w:szCs w:val="30"/>
        </w:rPr>
        <w:t>——公共停车设施。</w:t>
      </w:r>
      <w:r>
        <w:rPr>
          <w:rFonts w:hint="eastAsia" w:ascii="Times New Roman" w:hAnsi="Times New Roman"/>
          <w:szCs w:val="30"/>
        </w:rPr>
        <w:t>结合</w:t>
      </w:r>
      <w:r>
        <w:rPr>
          <w:rFonts w:ascii="Times New Roman" w:hAnsi="Times New Roman"/>
          <w:szCs w:val="30"/>
        </w:rPr>
        <w:t>支路路边</w:t>
      </w:r>
      <w:r>
        <w:rPr>
          <w:rFonts w:hint="eastAsia" w:ascii="Times New Roman" w:hAnsi="Times New Roman"/>
          <w:szCs w:val="30"/>
        </w:rPr>
        <w:t>和广场</w:t>
      </w:r>
      <w:r>
        <w:rPr>
          <w:rFonts w:ascii="Times New Roman" w:hAnsi="Times New Roman"/>
          <w:szCs w:val="30"/>
        </w:rPr>
        <w:t>设置公共停车位</w:t>
      </w:r>
      <w:r>
        <w:rPr>
          <w:rFonts w:hint="eastAsia" w:ascii="Times New Roman" w:hAnsi="Times New Roman"/>
          <w:szCs w:val="30"/>
        </w:rPr>
        <w:t>。</w:t>
      </w:r>
    </w:p>
    <w:p w14:paraId="732B1F1A">
      <w:pPr>
        <w:pStyle w:val="4"/>
        <w:tabs>
          <w:tab w:val="left" w:pos="420"/>
        </w:tabs>
        <w:spacing w:before="156" w:after="62"/>
      </w:pPr>
      <w:bookmarkStart w:id="100" w:name="_Toc16727"/>
      <w:bookmarkStart w:id="101" w:name="_Toc24689"/>
      <w:r>
        <w:rPr>
          <w:rFonts w:hint="eastAsia"/>
        </w:rPr>
        <w:t xml:space="preserve">第五节 </w:t>
      </w:r>
      <w:r>
        <w:t xml:space="preserve"> </w:t>
      </w:r>
      <w:r>
        <w:rPr>
          <w:rFonts w:hint="eastAsia"/>
        </w:rPr>
        <w:t>公共管理与公共服务设施</w:t>
      </w:r>
      <w:bookmarkEnd w:id="100"/>
      <w:bookmarkEnd w:id="101"/>
    </w:p>
    <w:p w14:paraId="3EC7F15F">
      <w:pPr>
        <w:pStyle w:val="5"/>
        <w:tabs>
          <w:tab w:val="left" w:pos="420"/>
        </w:tabs>
        <w:ind w:firstLine="602"/>
      </w:pPr>
      <w:r>
        <w:rPr>
          <w:rFonts w:hint="eastAsia"/>
        </w:rPr>
        <w:t>一、公共管理</w:t>
      </w:r>
    </w:p>
    <w:p w14:paraId="7DFDF8D5">
      <w:pPr>
        <w:ind w:firstLine="600"/>
        <w:rPr>
          <w:rFonts w:ascii="Times New Roman" w:hAnsi="Times New Roman"/>
        </w:rPr>
      </w:pPr>
      <w:r>
        <w:rPr>
          <w:rFonts w:hint="eastAsia" w:ascii="Times New Roman" w:hAnsi="Times New Roman"/>
        </w:rPr>
        <w:t>规划保留现状红花铺镇便民服务中心、红花铺镇综合文化站、红花铺村党群服务中心等。改造升级红花铺镇人民政府及现状附属机关团体单位。</w:t>
      </w:r>
      <w:r>
        <w:rPr>
          <w:rFonts w:ascii="Times New Roman" w:hAnsi="Times New Roman"/>
        </w:rPr>
        <w:t>到2035年，规划</w:t>
      </w:r>
      <w:r>
        <w:rPr>
          <w:rFonts w:hint="eastAsia" w:ascii="Times New Roman" w:hAnsi="Times New Roman"/>
        </w:rPr>
        <w:t>机关团体用地</w:t>
      </w:r>
      <w:r>
        <w:rPr>
          <w:rFonts w:ascii="Times New Roman" w:hAnsi="Times New Roman"/>
        </w:rPr>
        <w:t>面积0.48</w:t>
      </w:r>
      <w:r>
        <w:rPr>
          <w:rFonts w:hint="eastAsia" w:ascii="Times New Roman" w:hAnsi="Times New Roman"/>
        </w:rPr>
        <w:t>公顷。</w:t>
      </w:r>
    </w:p>
    <w:p w14:paraId="312F568D">
      <w:pPr>
        <w:pStyle w:val="5"/>
        <w:tabs>
          <w:tab w:val="left" w:pos="420"/>
        </w:tabs>
        <w:ind w:firstLine="602"/>
      </w:pPr>
      <w:r>
        <w:rPr>
          <w:rFonts w:hint="eastAsia"/>
        </w:rPr>
        <w:t>二、公共服务设施</w:t>
      </w:r>
    </w:p>
    <w:p w14:paraId="58977DF9">
      <w:pPr>
        <w:ind w:firstLine="600"/>
        <w:rPr>
          <w:rFonts w:ascii="Times New Roman" w:hAnsi="Times New Roman"/>
        </w:rPr>
      </w:pPr>
      <w:r>
        <w:rPr>
          <w:rFonts w:hint="eastAsia"/>
        </w:rPr>
        <w:t>统筹考虑红花铺全域村庄公共服务需求，提升镇区承载力和公共服务水平，合理确定文化教育、医疗卫生、体育健身、社会福利（养老、</w:t>
      </w:r>
      <w:r>
        <w:rPr>
          <w:rFonts w:hint="eastAsia" w:ascii="Times New Roman" w:hAnsi="Times New Roman"/>
        </w:rPr>
        <w:t>殡葬、儿童福利、社会救助）等各类公共服务设施用地规模和布局。</w:t>
      </w:r>
    </w:p>
    <w:p w14:paraId="0DF5FA7C">
      <w:pPr>
        <w:ind w:firstLine="602"/>
        <w:rPr>
          <w:szCs w:val="30"/>
        </w:rPr>
      </w:pPr>
      <w:r>
        <w:rPr>
          <w:rFonts w:ascii="Times New Roman" w:hAnsi="Times New Roman"/>
          <w:b/>
          <w:bCs/>
        </w:rPr>
        <w:t>教育设施。</w:t>
      </w:r>
      <w:r>
        <w:rPr>
          <w:rFonts w:hint="eastAsia" w:ascii="Times New Roman" w:hAnsi="Times New Roman"/>
        </w:rPr>
        <w:t>规划保留现状招银希望小学、红花铺</w:t>
      </w:r>
      <w:r>
        <w:rPr>
          <w:rFonts w:hint="eastAsia" w:ascii="仿宋_GB2312"/>
          <w:szCs w:val="30"/>
        </w:rPr>
        <w:t>幼儿园，</w:t>
      </w:r>
      <w:r>
        <w:rPr>
          <w:rFonts w:hint="eastAsia"/>
          <w:szCs w:val="30"/>
        </w:rPr>
        <w:t>提</w:t>
      </w:r>
      <w:r>
        <w:rPr>
          <w:rFonts w:hint="eastAsia" w:ascii="Times New Roman" w:hAnsi="Times New Roman"/>
        </w:rPr>
        <w:t>升现状教育设施配置。</w:t>
      </w:r>
      <w:r>
        <w:rPr>
          <w:rFonts w:ascii="Times New Roman" w:hAnsi="Times New Roman"/>
        </w:rPr>
        <w:t>到2035年，规划</w:t>
      </w:r>
      <w:r>
        <w:rPr>
          <w:rFonts w:hint="eastAsia" w:ascii="Times New Roman" w:hAnsi="Times New Roman"/>
        </w:rPr>
        <w:t>教育用地</w:t>
      </w:r>
      <w:r>
        <w:rPr>
          <w:rFonts w:ascii="Times New Roman" w:hAnsi="Times New Roman"/>
        </w:rPr>
        <w:t>面积0.</w:t>
      </w:r>
      <w:r>
        <w:rPr>
          <w:rFonts w:hint="eastAsia" w:ascii="Times New Roman" w:hAnsi="Times New Roman"/>
        </w:rPr>
        <w:t>86公顷。</w:t>
      </w:r>
    </w:p>
    <w:p w14:paraId="7E889FFF">
      <w:pPr>
        <w:ind w:firstLine="602"/>
        <w:rPr>
          <w:szCs w:val="30"/>
        </w:rPr>
      </w:pPr>
      <w:r>
        <w:rPr>
          <w:rFonts w:hint="eastAsia"/>
          <w:b/>
          <w:bCs/>
        </w:rPr>
        <w:t>医疗设施。</w:t>
      </w:r>
      <w:r>
        <w:rPr>
          <w:rFonts w:hint="eastAsia" w:ascii="Times New Roman" w:hAnsi="Times New Roman"/>
        </w:rPr>
        <w:t>保留现状红花铺镇卫生院，完善医疗设施配置，提升医疗服务能力。</w:t>
      </w:r>
      <w:r>
        <w:rPr>
          <w:rFonts w:hint="eastAsia"/>
          <w:szCs w:val="30"/>
        </w:rPr>
        <w:t>到</w:t>
      </w:r>
      <w:r>
        <w:rPr>
          <w:rFonts w:ascii="Times New Roman"/>
          <w:szCs w:val="30"/>
        </w:rPr>
        <w:t>2035</w:t>
      </w:r>
      <w:r>
        <w:rPr>
          <w:rFonts w:hint="eastAsia"/>
          <w:szCs w:val="30"/>
        </w:rPr>
        <w:t>年，规划医疗卫生设施用地面积</w:t>
      </w:r>
      <w:r>
        <w:rPr>
          <w:rFonts w:ascii="Times New Roman"/>
          <w:szCs w:val="30"/>
        </w:rPr>
        <w:t>0.22</w:t>
      </w:r>
      <w:r>
        <w:rPr>
          <w:rFonts w:hint="eastAsia"/>
          <w:szCs w:val="30"/>
        </w:rPr>
        <w:t>公顷。</w:t>
      </w:r>
    </w:p>
    <w:p w14:paraId="572DE383">
      <w:pPr>
        <w:ind w:firstLine="602"/>
        <w:rPr>
          <w:szCs w:val="30"/>
        </w:rPr>
      </w:pPr>
      <w:r>
        <w:rPr>
          <w:rFonts w:hint="eastAsia"/>
          <w:b/>
          <w:bCs/>
        </w:rPr>
        <w:t>文化设施。</w:t>
      </w:r>
      <w:r>
        <w:rPr>
          <w:rFonts w:hint="eastAsia" w:ascii="Times New Roman" w:hAnsi="Times New Roman"/>
        </w:rPr>
        <w:t>保留现状红花镇综合文化</w:t>
      </w:r>
      <w:r>
        <w:rPr>
          <w:rFonts w:hint="eastAsia"/>
          <w:szCs w:val="30"/>
        </w:rPr>
        <w:t>站及相关附属文化设施，根据需求完善文化设施建设。到</w:t>
      </w:r>
      <w:r>
        <w:rPr>
          <w:rFonts w:ascii="Times New Roman"/>
          <w:szCs w:val="30"/>
        </w:rPr>
        <w:t>2035</w:t>
      </w:r>
      <w:r>
        <w:rPr>
          <w:rFonts w:hint="eastAsia"/>
          <w:szCs w:val="30"/>
        </w:rPr>
        <w:t>年，规划文化设施</w:t>
      </w:r>
      <w:r>
        <w:rPr>
          <w:rFonts w:hint="eastAsia" w:ascii="Times New Roman" w:hAnsi="Times New Roman"/>
        </w:rPr>
        <w:t>用地面积</w:t>
      </w:r>
      <w:r>
        <w:rPr>
          <w:rFonts w:ascii="Times New Roman" w:hAnsi="Times New Roman"/>
        </w:rPr>
        <w:t>0.04</w:t>
      </w:r>
      <w:r>
        <w:rPr>
          <w:rFonts w:hint="eastAsia" w:ascii="Times New Roman" w:hAnsi="Times New Roman"/>
        </w:rPr>
        <w:t>公顷。</w:t>
      </w:r>
    </w:p>
    <w:p w14:paraId="0A828C77">
      <w:pPr>
        <w:ind w:firstLine="602"/>
        <w:rPr>
          <w:szCs w:val="30"/>
        </w:rPr>
      </w:pPr>
      <w:r>
        <w:rPr>
          <w:rFonts w:ascii="Times New Roman" w:hAnsi="Times New Roman"/>
          <w:b/>
          <w:bCs/>
        </w:rPr>
        <w:t>体育健身设施。</w:t>
      </w:r>
      <w:r>
        <w:rPr>
          <w:rFonts w:ascii="Times New Roman" w:hAnsi="Times New Roman"/>
          <w:szCs w:val="30"/>
        </w:rPr>
        <w:t>结合居住区域，每个居住片区结合公园绿地建设1处</w:t>
      </w:r>
      <w:r>
        <w:rPr>
          <w:rFonts w:hint="eastAsia"/>
          <w:szCs w:val="30"/>
        </w:rPr>
        <w:t>体育设施，包括小型体育活动场地及健身步道。此外，每个居住小区应配置独立小型综合健身场地。</w:t>
      </w:r>
    </w:p>
    <w:p w14:paraId="6309DB09">
      <w:pPr>
        <w:pStyle w:val="4"/>
        <w:tabs>
          <w:tab w:val="left" w:pos="420"/>
        </w:tabs>
        <w:spacing w:before="156" w:after="62"/>
      </w:pPr>
      <w:bookmarkStart w:id="102" w:name="_Toc15216"/>
      <w:bookmarkStart w:id="103" w:name="_Toc27528"/>
      <w:r>
        <w:rPr>
          <w:rFonts w:hint="eastAsia"/>
        </w:rPr>
        <w:t xml:space="preserve">第六节 </w:t>
      </w:r>
      <w:r>
        <w:t xml:space="preserve"> </w:t>
      </w:r>
      <w:r>
        <w:rPr>
          <w:rFonts w:hint="eastAsia"/>
        </w:rPr>
        <w:t>绿地与开敞空间</w:t>
      </w:r>
      <w:bookmarkEnd w:id="102"/>
      <w:bookmarkEnd w:id="103"/>
    </w:p>
    <w:p w14:paraId="34349001">
      <w:pPr>
        <w:ind w:firstLine="602"/>
        <w:rPr>
          <w:rFonts w:hint="eastAsia" w:ascii="Times New Roman" w:hAnsi="Times New Roman"/>
          <w:b w:val="0"/>
          <w:bCs w:val="0"/>
        </w:rPr>
      </w:pPr>
      <w:r>
        <w:rPr>
          <w:rFonts w:hint="eastAsia" w:ascii="Times New Roman" w:hAnsi="Times New Roman"/>
          <w:b/>
          <w:bCs/>
        </w:rPr>
        <w:t>蓝绿网结构。</w:t>
      </w:r>
      <w:r>
        <w:rPr>
          <w:rFonts w:hint="eastAsia" w:ascii="Times New Roman" w:hAnsi="Times New Roman"/>
          <w:b w:val="0"/>
          <w:bCs w:val="0"/>
        </w:rPr>
        <w:t>镇区绿地生态系统由外围山体、田园、嘉陵江两侧绿带、公园等构成。在“山绕河穿”的镇区生态空间格局基础之上，综合考虑、统一规划，完善镇区绿化系统，规划形成“一带、多点”的蓝绿网结构。</w:t>
      </w:r>
    </w:p>
    <w:p w14:paraId="3D7AEA76">
      <w:pPr>
        <w:ind w:firstLine="600"/>
      </w:pPr>
      <w:r>
        <w:rPr>
          <w:rFonts w:ascii="Times New Roman" w:hAnsi="Times New Roman"/>
          <w:szCs w:val="30"/>
        </w:rPr>
        <w:t>——</w:t>
      </w:r>
      <w:r>
        <w:rPr>
          <w:rFonts w:hint="eastAsia"/>
        </w:rPr>
        <w:t>一带。由嘉陵江穿镇区的河流与山体，</w:t>
      </w:r>
      <w:r>
        <w:rPr>
          <w:rFonts w:hint="eastAsia"/>
          <w:szCs w:val="30"/>
        </w:rPr>
        <w:t>构建穿城生态带。</w:t>
      </w:r>
    </w:p>
    <w:p w14:paraId="04DB927C">
      <w:pPr>
        <w:ind w:firstLine="600"/>
      </w:pPr>
      <w:r>
        <w:rPr>
          <w:rFonts w:ascii="Times New Roman" w:hAnsi="Times New Roman"/>
          <w:szCs w:val="30"/>
        </w:rPr>
        <w:t>——</w:t>
      </w:r>
      <w:r>
        <w:rPr>
          <w:rFonts w:hint="eastAsia"/>
        </w:rPr>
        <w:t>多点。</w:t>
      </w:r>
      <w:r>
        <w:rPr>
          <w:rFonts w:hint="eastAsia"/>
          <w:szCs w:val="30"/>
        </w:rPr>
        <w:t>在镇区内分散布局点状绿地及广场，以开敞空间及绿化为主要特色，为公众营造亲切、舒适的户外休闲集散游赏空间。</w:t>
      </w:r>
    </w:p>
    <w:p w14:paraId="2971C32C">
      <w:pPr>
        <w:ind w:firstLine="602"/>
        <w:rPr>
          <w:b/>
          <w:bCs/>
        </w:rPr>
      </w:pPr>
      <w:r>
        <w:rPr>
          <w:rFonts w:hint="eastAsia"/>
          <w:b/>
          <w:bCs/>
        </w:rPr>
        <w:t>绿地布局。</w:t>
      </w:r>
      <w:r>
        <w:rPr>
          <w:rFonts w:hint="eastAsia"/>
        </w:rPr>
        <w:t>点状分布的公园和带状分布的公园、防护绿地，共同组织成互相联结、互为补充的</w:t>
      </w:r>
      <w:r>
        <w:rPr>
          <w:rFonts w:ascii="Times New Roman" w:hAnsi="Times New Roman"/>
        </w:rPr>
        <w:t>公园绿地系统。到2035年，镇区公园绿地与防护绿地0.9</w:t>
      </w:r>
      <w:r>
        <w:rPr>
          <w:rFonts w:hint="eastAsia" w:ascii="Times New Roman" w:hAnsi="Times New Roman"/>
          <w:lang w:val="en-US" w:eastAsia="zh-CN"/>
        </w:rPr>
        <w:t>5</w:t>
      </w:r>
      <w:r>
        <w:rPr>
          <w:rFonts w:ascii="Times New Roman" w:hAnsi="Times New Roman"/>
        </w:rPr>
        <w:t>公顷，占镇区</w:t>
      </w:r>
      <w:r>
        <w:rPr>
          <w:rFonts w:hint="eastAsia" w:ascii="Times New Roman" w:hAnsi="Times New Roman"/>
        </w:rPr>
        <w:t>集中建设区面积</w:t>
      </w:r>
      <w:r>
        <w:rPr>
          <w:rFonts w:ascii="Times New Roman" w:hAnsi="Times New Roman"/>
        </w:rPr>
        <w:t>的7.1</w:t>
      </w:r>
      <w:r>
        <w:rPr>
          <w:rFonts w:hint="eastAsia" w:ascii="Times New Roman" w:hAnsi="Times New Roman"/>
          <w:lang w:val="en-US" w:eastAsia="zh-CN"/>
        </w:rPr>
        <w:t>3</w:t>
      </w:r>
      <w:r>
        <w:rPr>
          <w:rFonts w:ascii="Times New Roman" w:hAnsi="Times New Roman"/>
        </w:rPr>
        <w:t>%。</w:t>
      </w:r>
    </w:p>
    <w:p w14:paraId="7C054E0F">
      <w:pPr>
        <w:pStyle w:val="4"/>
        <w:tabs>
          <w:tab w:val="left" w:pos="420"/>
        </w:tabs>
        <w:spacing w:before="156" w:after="62"/>
      </w:pPr>
      <w:bookmarkStart w:id="104" w:name="_Toc14044"/>
      <w:bookmarkStart w:id="105" w:name="_Toc28097"/>
      <w:r>
        <w:rPr>
          <w:rFonts w:hint="eastAsia"/>
        </w:rPr>
        <w:t xml:space="preserve">第七节 </w:t>
      </w:r>
      <w:r>
        <w:t xml:space="preserve"> </w:t>
      </w:r>
      <w:r>
        <w:rPr>
          <w:rFonts w:hint="eastAsia"/>
        </w:rPr>
        <w:t>市政基础设施</w:t>
      </w:r>
      <w:bookmarkEnd w:id="104"/>
      <w:bookmarkEnd w:id="105"/>
    </w:p>
    <w:p w14:paraId="348A6914">
      <w:pPr>
        <w:pStyle w:val="5"/>
        <w:tabs>
          <w:tab w:val="left" w:pos="420"/>
        </w:tabs>
        <w:ind w:firstLine="602"/>
      </w:pPr>
      <w:r>
        <w:rPr>
          <w:rFonts w:hint="eastAsia"/>
        </w:rPr>
        <w:t>一、给水工程</w:t>
      </w:r>
    </w:p>
    <w:p w14:paraId="5C0694C5">
      <w:pPr>
        <w:ind w:firstLine="600"/>
        <w:rPr>
          <w:rFonts w:ascii="Times New Roman" w:hAnsi="Times New Roman"/>
        </w:rPr>
      </w:pPr>
      <w:r>
        <w:rPr>
          <w:rFonts w:ascii="Times New Roman" w:hAnsi="Times New Roman"/>
        </w:rPr>
        <w:t>用水</w:t>
      </w:r>
      <w:r>
        <w:rPr>
          <w:rFonts w:hint="eastAsia" w:ascii="Times New Roman" w:hAnsi="Times New Roman"/>
        </w:rPr>
        <w:t>总</w:t>
      </w:r>
      <w:r>
        <w:rPr>
          <w:rFonts w:ascii="Times New Roman" w:hAnsi="Times New Roman"/>
        </w:rPr>
        <w:t>量：</w:t>
      </w:r>
      <w:r>
        <w:rPr>
          <w:rFonts w:hint="eastAsia" w:ascii="Times New Roman" w:hAnsi="Times New Roman"/>
        </w:rPr>
        <w:t>到</w:t>
      </w:r>
      <w:r>
        <w:rPr>
          <w:rFonts w:ascii="Times New Roman" w:hAnsi="Times New Roman"/>
        </w:rPr>
        <w:t>2035年，</w:t>
      </w:r>
      <w:r>
        <w:rPr>
          <w:rFonts w:hint="eastAsia" w:ascii="Times New Roman" w:hAnsi="Times New Roman"/>
        </w:rPr>
        <w:t>镇区最高</w:t>
      </w:r>
      <w:r>
        <w:rPr>
          <w:rFonts w:ascii="Times New Roman" w:hAnsi="Times New Roman"/>
        </w:rPr>
        <w:t>日用水量约1</w:t>
      </w:r>
      <w:r>
        <w:rPr>
          <w:rFonts w:hint="eastAsia" w:ascii="Times New Roman" w:hAnsi="Times New Roman"/>
          <w:lang w:val="en-US" w:eastAsia="zh-CN"/>
        </w:rPr>
        <w:t>5</w:t>
      </w:r>
      <w:r>
        <w:rPr>
          <w:rFonts w:ascii="Times New Roman" w:hAnsi="Times New Roman"/>
        </w:rPr>
        <w:t>0立方米</w:t>
      </w:r>
      <w:r>
        <w:rPr>
          <w:rFonts w:hint="eastAsia" w:ascii="Times New Roman" w:hAnsi="Times New Roman"/>
        </w:rPr>
        <w:t>/日</w:t>
      </w:r>
      <w:r>
        <w:rPr>
          <w:rFonts w:ascii="Times New Roman" w:hAnsi="Times New Roman"/>
        </w:rPr>
        <w:t>。</w:t>
      </w:r>
    </w:p>
    <w:p w14:paraId="6C67DC54">
      <w:pPr>
        <w:ind w:firstLine="600"/>
      </w:pPr>
      <w:r>
        <w:rPr>
          <w:rFonts w:hint="eastAsia"/>
        </w:rPr>
        <w:t>给水水源与设施：</w:t>
      </w:r>
      <w:r>
        <w:rPr>
          <w:rFonts w:hint="eastAsia"/>
          <w:szCs w:val="30"/>
        </w:rPr>
        <w:t>凤县红花铺集中供水水厂水源为地</w:t>
      </w:r>
      <w:r>
        <w:rPr>
          <w:rFonts w:hint="eastAsia"/>
          <w:szCs w:val="30"/>
          <w:lang w:eastAsia="zh-CN"/>
        </w:rPr>
        <w:t>下</w:t>
      </w:r>
      <w:r>
        <w:rPr>
          <w:rFonts w:hint="eastAsia"/>
          <w:szCs w:val="30"/>
        </w:rPr>
        <w:t>水。</w:t>
      </w:r>
      <w:r>
        <w:rPr>
          <w:rFonts w:hint="eastAsia"/>
        </w:rPr>
        <w:t>镇区给水</w:t>
      </w:r>
      <w:r>
        <w:rPr>
          <w:rFonts w:hint="eastAsia"/>
          <w:szCs w:val="30"/>
        </w:rPr>
        <w:t>沿用凤县红花铺集中供水水厂。</w:t>
      </w:r>
    </w:p>
    <w:p w14:paraId="7CC22FD7">
      <w:pPr>
        <w:ind w:firstLine="600"/>
      </w:pPr>
      <w:r>
        <w:rPr>
          <w:rFonts w:hint="eastAsia"/>
        </w:rPr>
        <w:t>供水管线布局：给水管线沿道路布置，采用以环状为主，枝状为辅的给水方式。</w:t>
      </w:r>
    </w:p>
    <w:p w14:paraId="5CD596C7">
      <w:pPr>
        <w:pStyle w:val="5"/>
        <w:tabs>
          <w:tab w:val="left" w:pos="420"/>
        </w:tabs>
        <w:ind w:firstLine="602"/>
      </w:pPr>
      <w:r>
        <w:rPr>
          <w:rFonts w:hint="eastAsia"/>
        </w:rPr>
        <w:t>二、排水工程</w:t>
      </w:r>
    </w:p>
    <w:p w14:paraId="3676A708">
      <w:pPr>
        <w:ind w:firstLine="600"/>
      </w:pPr>
      <w:r>
        <w:rPr>
          <w:rFonts w:hint="eastAsia"/>
        </w:rPr>
        <w:t>排水体制：镇区采用雨、污分流制。</w:t>
      </w:r>
    </w:p>
    <w:p w14:paraId="4EA4FBB7">
      <w:pPr>
        <w:ind w:firstLine="600"/>
        <w:rPr>
          <w:rFonts w:ascii="Times New Roman" w:hAnsi="Times New Roman"/>
        </w:rPr>
      </w:pPr>
      <w:r>
        <w:rPr>
          <w:rFonts w:ascii="Times New Roman" w:hAnsi="Times New Roman"/>
        </w:rPr>
        <w:t>污水量：</w:t>
      </w:r>
      <w:r>
        <w:rPr>
          <w:rFonts w:hint="eastAsia" w:ascii="Times New Roman" w:hAnsi="Times New Roman"/>
        </w:rPr>
        <w:t>取镇区生活用水量的8</w:t>
      </w:r>
      <w:r>
        <w:rPr>
          <w:rFonts w:ascii="Times New Roman" w:hAnsi="Times New Roman"/>
        </w:rPr>
        <w:t>0%</w:t>
      </w:r>
      <w:r>
        <w:rPr>
          <w:rFonts w:hint="eastAsia" w:ascii="Times New Roman" w:hAnsi="Times New Roman"/>
        </w:rPr>
        <w:t>、变化系数取1</w:t>
      </w:r>
      <w:r>
        <w:rPr>
          <w:rFonts w:ascii="Times New Roman" w:hAnsi="Times New Roman"/>
        </w:rPr>
        <w:t>.3</w:t>
      </w:r>
      <w:r>
        <w:rPr>
          <w:rFonts w:hint="eastAsia" w:ascii="Times New Roman" w:hAnsi="Times New Roman"/>
        </w:rPr>
        <w:t>，</w:t>
      </w:r>
      <w:r>
        <w:rPr>
          <w:rFonts w:ascii="Times New Roman" w:hAnsi="Times New Roman"/>
        </w:rPr>
        <w:t>到</w:t>
      </w:r>
      <w:r>
        <w:rPr>
          <w:rFonts w:ascii="Times New Roman" w:hAnsi="Times New Roman"/>
          <w:szCs w:val="30"/>
        </w:rPr>
        <w:t>2035年，镇区</w:t>
      </w:r>
      <w:r>
        <w:rPr>
          <w:rFonts w:hint="eastAsia" w:ascii="Times New Roman" w:hAnsi="Times New Roman"/>
        </w:rPr>
        <w:t>平均日生活污水排放量为</w:t>
      </w:r>
      <w:r>
        <w:rPr>
          <w:rFonts w:hint="eastAsia" w:ascii="Times New Roman" w:hAnsi="Times New Roman"/>
          <w:lang w:val="en-US" w:eastAsia="zh-CN"/>
        </w:rPr>
        <w:t>92.31</w:t>
      </w:r>
      <w:r>
        <w:rPr>
          <w:rFonts w:hint="eastAsia" w:ascii="Times New Roman" w:hAnsi="Times New Roman"/>
        </w:rPr>
        <w:t>立方米/日</w:t>
      </w:r>
      <w:r>
        <w:rPr>
          <w:rFonts w:ascii="Times New Roman" w:hAnsi="Times New Roman"/>
          <w:szCs w:val="30"/>
        </w:rPr>
        <w:t>。</w:t>
      </w:r>
    </w:p>
    <w:p w14:paraId="7242876B">
      <w:pPr>
        <w:ind w:firstLine="600"/>
        <w:rPr>
          <w:szCs w:val="30"/>
        </w:rPr>
      </w:pPr>
      <w:r>
        <w:rPr>
          <w:rFonts w:ascii="Times New Roman" w:hAnsi="Times New Roman"/>
        </w:rPr>
        <w:t>污水管网与处理设施：</w:t>
      </w:r>
      <w:r>
        <w:rPr>
          <w:rFonts w:ascii="Times New Roman" w:hAnsi="Times New Roman"/>
          <w:szCs w:val="30"/>
        </w:rPr>
        <w:t>镇区污水通过</w:t>
      </w:r>
      <w:r>
        <w:rPr>
          <w:rFonts w:hint="eastAsia" w:ascii="Times New Roman" w:hAnsi="Times New Roman"/>
          <w:szCs w:val="30"/>
        </w:rPr>
        <w:t>管径D</w:t>
      </w:r>
      <w:r>
        <w:rPr>
          <w:rFonts w:ascii="Times New Roman" w:hAnsi="Times New Roman"/>
          <w:szCs w:val="30"/>
        </w:rPr>
        <w:t>N300-DN500</w:t>
      </w:r>
      <w:r>
        <w:rPr>
          <w:rFonts w:hint="eastAsia" w:ascii="Times New Roman" w:hAnsi="Times New Roman"/>
          <w:szCs w:val="30"/>
        </w:rPr>
        <w:t>的</w:t>
      </w:r>
      <w:r>
        <w:rPr>
          <w:rFonts w:ascii="Times New Roman" w:hAnsi="Times New Roman"/>
          <w:szCs w:val="30"/>
        </w:rPr>
        <w:t>管道收集输送至</w:t>
      </w:r>
      <w:r>
        <w:rPr>
          <w:rFonts w:hint="eastAsia" w:ascii="Times New Roman" w:hAnsi="Times New Roman"/>
          <w:szCs w:val="30"/>
        </w:rPr>
        <w:t>镇区南部规划的2座污水处理站</w:t>
      </w:r>
      <w:r>
        <w:rPr>
          <w:rFonts w:hint="eastAsia"/>
          <w:szCs w:val="30"/>
        </w:rPr>
        <w:t>处理，污水处理达到水质排放标准后排放至嘉陵江。</w:t>
      </w:r>
    </w:p>
    <w:p w14:paraId="5AA34FA9">
      <w:pPr>
        <w:ind w:firstLine="600"/>
      </w:pPr>
      <w:r>
        <w:rPr>
          <w:rFonts w:hint="eastAsia"/>
        </w:rPr>
        <w:t>雨水排放：镇区雨水管网布局结合地形采用重力流原则进行布置，分片区进行收集后，分别就近排入嘉陵江。</w:t>
      </w:r>
    </w:p>
    <w:p w14:paraId="1CDD8C2C">
      <w:pPr>
        <w:pStyle w:val="5"/>
        <w:tabs>
          <w:tab w:val="left" w:pos="420"/>
        </w:tabs>
        <w:ind w:firstLine="602"/>
      </w:pPr>
      <w:r>
        <w:rPr>
          <w:rFonts w:hint="eastAsia"/>
        </w:rPr>
        <w:t>三、供电工程</w:t>
      </w:r>
    </w:p>
    <w:p w14:paraId="5D9C07C5">
      <w:pPr>
        <w:ind w:firstLine="600"/>
        <w:rPr>
          <w:rFonts w:ascii="Times New Roman" w:hAnsi="Times New Roman"/>
        </w:rPr>
      </w:pPr>
      <w:r>
        <w:rPr>
          <w:rFonts w:ascii="Times New Roman" w:hAnsi="Times New Roman"/>
        </w:rPr>
        <w:t>用电负荷预测：到2035年，镇区用电负荷约为</w:t>
      </w:r>
      <w:r>
        <w:rPr>
          <w:rFonts w:hint="eastAsia" w:ascii="Times New Roman" w:hAnsi="Times New Roman"/>
        </w:rPr>
        <w:t>1068.84千瓦</w:t>
      </w:r>
      <w:r>
        <w:rPr>
          <w:rFonts w:ascii="Times New Roman" w:hAnsi="Times New Roman"/>
        </w:rPr>
        <w:t>。</w:t>
      </w:r>
    </w:p>
    <w:p w14:paraId="51E5E6FA">
      <w:pPr>
        <w:ind w:firstLine="600"/>
        <w:rPr>
          <w:rFonts w:ascii="Times New Roman" w:hAnsi="Times New Roman"/>
          <w:szCs w:val="30"/>
        </w:rPr>
      </w:pPr>
      <w:r>
        <w:rPr>
          <w:rFonts w:ascii="Times New Roman" w:hAnsi="Times New Roman"/>
        </w:rPr>
        <w:t>供电电源：</w:t>
      </w:r>
      <w:r>
        <w:rPr>
          <w:rFonts w:hint="eastAsia" w:ascii="Times New Roman" w:hAnsi="Times New Roman"/>
          <w:szCs w:val="30"/>
        </w:rPr>
        <w:t>规划继续沿用黄牛铺110</w:t>
      </w:r>
      <w:r>
        <w:rPr>
          <w:rFonts w:ascii="Times New Roman" w:hAnsi="Times New Roman"/>
          <w:szCs w:val="30"/>
        </w:rPr>
        <w:t>千伏变电站</w:t>
      </w:r>
      <w:r>
        <w:rPr>
          <w:rFonts w:hint="eastAsia" w:ascii="Times New Roman" w:hAnsi="Times New Roman"/>
          <w:szCs w:val="30"/>
        </w:rPr>
        <w:t>。</w:t>
      </w:r>
    </w:p>
    <w:p w14:paraId="4C6836EF">
      <w:pPr>
        <w:ind w:firstLine="600"/>
        <w:rPr>
          <w:szCs w:val="30"/>
        </w:rPr>
      </w:pPr>
      <w:r>
        <w:rPr>
          <w:rFonts w:hint="eastAsia"/>
        </w:rPr>
        <w:t>供电线路布局：</w:t>
      </w:r>
      <w:r>
        <w:rPr>
          <w:rFonts w:hint="eastAsia"/>
          <w:szCs w:val="30"/>
        </w:rPr>
        <w:t>镇区主要街道和景观建设需要的区域，根据现状情况，逐步依次将架空供电线路改为电缆地下敷设。</w:t>
      </w:r>
    </w:p>
    <w:p w14:paraId="33D7D216">
      <w:pPr>
        <w:pStyle w:val="5"/>
        <w:tabs>
          <w:tab w:val="left" w:pos="420"/>
        </w:tabs>
        <w:ind w:firstLine="602"/>
      </w:pPr>
      <w:r>
        <w:rPr>
          <w:rFonts w:hint="eastAsia"/>
        </w:rPr>
        <w:t>四、通信工程</w:t>
      </w:r>
    </w:p>
    <w:p w14:paraId="684954FE">
      <w:pPr>
        <w:ind w:firstLine="600"/>
        <w:rPr>
          <w:rFonts w:ascii="Times New Roman" w:hAnsi="Times New Roman"/>
        </w:rPr>
      </w:pPr>
      <w:r>
        <w:rPr>
          <w:rFonts w:ascii="Times New Roman" w:hAnsi="Times New Roman"/>
        </w:rPr>
        <w:t>局所规划：保留红花铺镇镇政府驻地院内的1座电信机房，在红花铺火车站处规划1座电信机房。</w:t>
      </w:r>
    </w:p>
    <w:p w14:paraId="5A791CA4">
      <w:pPr>
        <w:ind w:firstLine="600"/>
        <w:rPr>
          <w:rFonts w:ascii="Times New Roman" w:hAnsi="Times New Roman"/>
        </w:rPr>
      </w:pPr>
      <w:r>
        <w:rPr>
          <w:rFonts w:ascii="Times New Roman" w:hAnsi="Times New Roman"/>
          <w:szCs w:val="30"/>
        </w:rPr>
        <w:t>推进5G基站建设：同步完成通信机房、通信管道及光缆线路、光缆交接箱等配套基础设施建设。</w:t>
      </w:r>
      <w:r>
        <w:rPr>
          <w:rFonts w:ascii="Times New Roman" w:hAnsi="Times New Roman"/>
        </w:rPr>
        <w:t>建立光环网、光交接、光接入，逐步形成以管道主干光缆为主通道，光交接、光接入为主要组网方式的传输系统。</w:t>
      </w:r>
    </w:p>
    <w:p w14:paraId="07E7D7C1">
      <w:pPr>
        <w:pStyle w:val="5"/>
        <w:tabs>
          <w:tab w:val="left" w:pos="420"/>
        </w:tabs>
        <w:ind w:firstLine="602"/>
      </w:pPr>
      <w:r>
        <w:rPr>
          <w:rFonts w:hint="eastAsia"/>
        </w:rPr>
        <w:t>五、供热工程</w:t>
      </w:r>
    </w:p>
    <w:p w14:paraId="1861E202">
      <w:pPr>
        <w:ind w:firstLine="600"/>
      </w:pPr>
      <w:r>
        <w:rPr>
          <w:rFonts w:hint="eastAsia"/>
        </w:rPr>
        <w:t>采用电暖器、电地暖等进行局部采暖。</w:t>
      </w:r>
    </w:p>
    <w:p w14:paraId="7098EDC3">
      <w:pPr>
        <w:pStyle w:val="5"/>
        <w:tabs>
          <w:tab w:val="left" w:pos="420"/>
        </w:tabs>
        <w:ind w:firstLine="602"/>
      </w:pPr>
      <w:r>
        <w:rPr>
          <w:rFonts w:hint="eastAsia"/>
        </w:rPr>
        <w:t>六、燃气工程</w:t>
      </w:r>
    </w:p>
    <w:p w14:paraId="72176E1A">
      <w:pPr>
        <w:ind w:firstLine="600"/>
      </w:pPr>
      <w:r>
        <w:rPr>
          <w:rFonts w:hint="eastAsia"/>
          <w:lang w:eastAsia="zh-CN"/>
        </w:rPr>
        <w:t>以</w:t>
      </w:r>
      <w:r>
        <w:rPr>
          <w:rFonts w:hint="eastAsia"/>
        </w:rPr>
        <w:t>发展利用太阳能、生物质能和沼气等清洁能源</w:t>
      </w:r>
      <w:r>
        <w:rPr>
          <w:rFonts w:hint="eastAsia"/>
          <w:lang w:eastAsia="zh-CN"/>
        </w:rPr>
        <w:t>为主</w:t>
      </w:r>
      <w:r>
        <w:rPr>
          <w:rFonts w:hint="eastAsia"/>
        </w:rPr>
        <w:t>。</w:t>
      </w:r>
    </w:p>
    <w:p w14:paraId="3DC32F67">
      <w:pPr>
        <w:pStyle w:val="5"/>
        <w:tabs>
          <w:tab w:val="left" w:pos="420"/>
        </w:tabs>
        <w:ind w:firstLine="602"/>
      </w:pPr>
      <w:r>
        <w:rPr>
          <w:rFonts w:hint="eastAsia"/>
        </w:rPr>
        <w:t>七、环境卫生</w:t>
      </w:r>
    </w:p>
    <w:p w14:paraId="23C43475">
      <w:pPr>
        <w:ind w:firstLine="602"/>
        <w:rPr>
          <w:rFonts w:ascii="Times New Roman" w:hAnsi="Times New Roman"/>
        </w:rPr>
      </w:pPr>
      <w:r>
        <w:rPr>
          <w:rFonts w:ascii="Times New Roman" w:hAnsi="Times New Roman"/>
          <w:b/>
          <w:bCs/>
        </w:rPr>
        <w:t>垃圾量。</w:t>
      </w:r>
      <w:r>
        <w:rPr>
          <w:rFonts w:ascii="Times New Roman" w:hAnsi="Times New Roman"/>
        </w:rPr>
        <w:t>生活垃圾</w:t>
      </w:r>
      <w:r>
        <w:rPr>
          <w:rFonts w:hint="eastAsia" w:ascii="Times New Roman" w:hAnsi="Times New Roman"/>
        </w:rPr>
        <w:t>按照</w:t>
      </w:r>
      <w:r>
        <w:rPr>
          <w:rFonts w:ascii="Times New Roman" w:hAnsi="Times New Roman"/>
        </w:rPr>
        <w:t>1.2千克/人计算，到2035年，镇区居民生活年垃圾日产量为1200</w:t>
      </w:r>
      <w:r>
        <w:rPr>
          <w:rFonts w:hint="eastAsia" w:ascii="Times New Roman" w:hAnsi="Times New Roman"/>
        </w:rPr>
        <w:t>千克</w:t>
      </w:r>
      <w:r>
        <w:rPr>
          <w:rFonts w:ascii="Times New Roman" w:hAnsi="Times New Roman"/>
        </w:rPr>
        <w:t>。</w:t>
      </w:r>
    </w:p>
    <w:p w14:paraId="07F5AD9E">
      <w:pPr>
        <w:ind w:firstLine="602"/>
      </w:pPr>
      <w:r>
        <w:rPr>
          <w:rFonts w:hint="eastAsia"/>
          <w:b/>
          <w:bCs/>
        </w:rPr>
        <w:t>环卫设施。</w:t>
      </w:r>
      <w:r>
        <w:rPr>
          <w:rFonts w:hint="eastAsia"/>
        </w:rPr>
        <w:t>镇区的生活垃圾由垃圾收集车</w:t>
      </w:r>
      <w:r>
        <w:rPr>
          <w:rFonts w:hint="eastAsia"/>
          <w:lang w:eastAsia="zh-CN"/>
        </w:rPr>
        <w:t>，转至</w:t>
      </w:r>
      <w:r>
        <w:rPr>
          <w:rFonts w:hint="eastAsia" w:ascii="仿宋_GB2312" w:hAnsi="仿宋_GB2312" w:eastAsia="仿宋_GB2312" w:cs="仿宋_GB2312"/>
          <w:b w:val="0"/>
          <w:bCs w:val="0"/>
          <w:sz w:val="30"/>
          <w:szCs w:val="30"/>
          <w:highlight w:val="none"/>
          <w:lang w:val="en-US" w:eastAsia="zh-CN"/>
        </w:rPr>
        <w:t>生活垃圾压缩中转站</w:t>
      </w:r>
      <w:r>
        <w:rPr>
          <w:rFonts w:hint="eastAsia" w:ascii="仿宋_GB2312" w:hAnsi="仿宋_GB2312" w:cs="仿宋_GB2312"/>
          <w:b w:val="0"/>
          <w:bCs w:val="0"/>
          <w:sz w:val="30"/>
          <w:szCs w:val="30"/>
          <w:highlight w:val="none"/>
          <w:lang w:val="en-US" w:eastAsia="zh-CN"/>
        </w:rPr>
        <w:t>，</w:t>
      </w:r>
      <w:r>
        <w:rPr>
          <w:rFonts w:hint="eastAsia"/>
        </w:rPr>
        <w:t>统一收集运往黄牛铺镇生活垃圾处理设施进行处理。</w:t>
      </w:r>
    </w:p>
    <w:p w14:paraId="0FC0623B">
      <w:pPr>
        <w:ind w:firstLine="602"/>
        <w:rPr>
          <w:rFonts w:ascii="Times New Roman" w:hAnsi="Times New Roman"/>
          <w:b/>
          <w:bCs/>
          <w:szCs w:val="30"/>
        </w:rPr>
      </w:pPr>
      <w:r>
        <w:rPr>
          <w:rFonts w:ascii="Times New Roman" w:hAnsi="Times New Roman"/>
          <w:b/>
          <w:bCs/>
          <w:szCs w:val="30"/>
        </w:rPr>
        <w:t>公共厕所。</w:t>
      </w:r>
      <w:r>
        <w:rPr>
          <w:rFonts w:ascii="Times New Roman" w:hAnsi="Times New Roman"/>
          <w:szCs w:val="30"/>
        </w:rPr>
        <w:t>到2035年，镇区共设置公共厕所4座，可结合公共建筑、公园广场、街头绿地布置公共厕所。</w:t>
      </w:r>
    </w:p>
    <w:p w14:paraId="4F990D09">
      <w:pPr>
        <w:pStyle w:val="4"/>
        <w:tabs>
          <w:tab w:val="left" w:pos="420"/>
        </w:tabs>
        <w:spacing w:before="156" w:after="62"/>
      </w:pPr>
      <w:bookmarkStart w:id="106" w:name="_Toc32022"/>
      <w:bookmarkStart w:id="107" w:name="_Toc22994"/>
      <w:r>
        <w:rPr>
          <w:rFonts w:hint="eastAsia"/>
        </w:rPr>
        <w:t xml:space="preserve">第八节 </w:t>
      </w:r>
      <w:r>
        <w:t xml:space="preserve"> </w:t>
      </w:r>
      <w:r>
        <w:rPr>
          <w:rFonts w:hint="eastAsia"/>
        </w:rPr>
        <w:t>综合防灾减灾与公共安全</w:t>
      </w:r>
      <w:bookmarkEnd w:id="106"/>
      <w:bookmarkEnd w:id="107"/>
    </w:p>
    <w:p w14:paraId="12036F64">
      <w:pPr>
        <w:pStyle w:val="5"/>
        <w:tabs>
          <w:tab w:val="left" w:pos="420"/>
        </w:tabs>
        <w:ind w:firstLine="602"/>
      </w:pPr>
      <w:r>
        <w:rPr>
          <w:rFonts w:hint="eastAsia"/>
        </w:rPr>
        <w:t>一、防洪、排涝</w:t>
      </w:r>
    </w:p>
    <w:p w14:paraId="1EFF26F8">
      <w:pPr>
        <w:ind w:firstLine="602"/>
      </w:pPr>
      <w:r>
        <w:rPr>
          <w:rFonts w:ascii="Times New Roman" w:hAnsi="Times New Roman"/>
          <w:b/>
          <w:bCs/>
          <w:szCs w:val="30"/>
        </w:rPr>
        <w:t>设防标准。</w:t>
      </w:r>
      <w:r>
        <w:rPr>
          <w:rFonts w:hint="eastAsia" w:ascii="Times New Roman" w:hAnsi="Times New Roman"/>
          <w:szCs w:val="30"/>
        </w:rPr>
        <w:t>嘉陵江</w:t>
      </w:r>
      <w:r>
        <w:rPr>
          <w:rFonts w:hint="eastAsia"/>
        </w:rPr>
        <w:t>防洪标准按</w:t>
      </w:r>
      <w:r>
        <w:rPr>
          <w:rFonts w:hint="eastAsia"/>
          <w:lang w:val="en-US" w:eastAsia="zh-CN"/>
        </w:rPr>
        <w:t>五</w:t>
      </w:r>
      <w:r>
        <w:rPr>
          <w:rFonts w:hint="eastAsia"/>
        </w:rPr>
        <w:t>十年一遇设防，其他区域山洪采用</w:t>
      </w:r>
      <w:r>
        <w:rPr>
          <w:rFonts w:hint="eastAsia"/>
          <w:lang w:val="en-US" w:eastAsia="zh-CN"/>
        </w:rPr>
        <w:t>三</w:t>
      </w:r>
      <w:r>
        <w:rPr>
          <w:rFonts w:hint="eastAsia"/>
        </w:rPr>
        <w:t>十年一遇洪水设防标准。各河沟上的桥梁等构筑物设防标准应大于或等于其相应河沟的设防标准。</w:t>
      </w:r>
    </w:p>
    <w:p w14:paraId="49D9CD5E">
      <w:pPr>
        <w:ind w:firstLine="602"/>
        <w:rPr>
          <w:szCs w:val="30"/>
        </w:rPr>
      </w:pPr>
      <w:r>
        <w:rPr>
          <w:rFonts w:hint="eastAsia"/>
          <w:b/>
          <w:bCs/>
          <w:szCs w:val="30"/>
        </w:rPr>
        <w:t>防洪措施。</w:t>
      </w:r>
      <w:r>
        <w:rPr>
          <w:rFonts w:hint="eastAsia"/>
          <w:szCs w:val="30"/>
        </w:rPr>
        <w:t>结合凤县嘉陵江支沟堤岸整治与水系绿化工程，同步建设防洪堤防，清理河道、改善和提高河道的泄洪能力。</w:t>
      </w:r>
    </w:p>
    <w:p w14:paraId="1EFB7F56">
      <w:pPr>
        <w:ind w:firstLine="602"/>
        <w:rPr>
          <w:rFonts w:hint="eastAsia"/>
          <w:b w:val="0"/>
          <w:bCs w:val="0"/>
          <w:szCs w:val="30"/>
        </w:rPr>
      </w:pPr>
      <w:r>
        <w:rPr>
          <w:rFonts w:hint="eastAsia"/>
          <w:b/>
          <w:bCs/>
          <w:szCs w:val="30"/>
        </w:rPr>
        <w:t>内涝防治。</w:t>
      </w:r>
      <w:r>
        <w:rPr>
          <w:rFonts w:hint="eastAsia"/>
          <w:b w:val="0"/>
          <w:bCs w:val="0"/>
          <w:szCs w:val="30"/>
        </w:rPr>
        <w:t>将镇区干道两侧作为临时雨水行泄通道。加强内涝防治设施的运行监控，同时建立预警应急机制综合防治内涝。</w:t>
      </w:r>
    </w:p>
    <w:p w14:paraId="71C9AF20">
      <w:pPr>
        <w:pStyle w:val="5"/>
        <w:tabs>
          <w:tab w:val="left" w:pos="420"/>
        </w:tabs>
        <w:ind w:firstLine="602"/>
      </w:pPr>
      <w:r>
        <w:rPr>
          <w:rFonts w:hint="eastAsia"/>
        </w:rPr>
        <w:t>二、抗震</w:t>
      </w:r>
    </w:p>
    <w:p w14:paraId="517ADBE3">
      <w:pPr>
        <w:ind w:firstLine="602"/>
        <w:rPr>
          <w:rFonts w:ascii="Times New Roman" w:hAnsi="Times New Roman"/>
        </w:rPr>
      </w:pPr>
      <w:r>
        <w:rPr>
          <w:rFonts w:ascii="Times New Roman" w:hAnsi="Times New Roman"/>
          <w:b/>
          <w:bCs/>
        </w:rPr>
        <w:t>设防标准。</w:t>
      </w:r>
      <w:r>
        <w:rPr>
          <w:rFonts w:ascii="Times New Roman" w:hAnsi="Times New Roman"/>
        </w:rPr>
        <w:t>根据</w:t>
      </w:r>
      <w:r>
        <w:rPr>
          <w:rFonts w:hint="eastAsia" w:ascii="Times New Roman" w:hAnsi="Times New Roman"/>
          <w:lang w:val="en-US" w:eastAsia="zh-CN"/>
        </w:rPr>
        <w:t>中国</w:t>
      </w:r>
      <w:r>
        <w:rPr>
          <w:rFonts w:ascii="Times New Roman" w:hAnsi="Times New Roman"/>
        </w:rPr>
        <w:t>地震局颁布的中国地震动参数区划图划定的地震基本烈度进行抗震设防。凤县抗震设防烈度为</w:t>
      </w:r>
      <w:r>
        <w:rPr>
          <w:rFonts w:hint="eastAsia" w:ascii="Times New Roman" w:hAnsi="Times New Roman"/>
          <w:lang w:val="en-US" w:eastAsia="zh-CN"/>
        </w:rPr>
        <w:t>8</w:t>
      </w:r>
      <w:r>
        <w:rPr>
          <w:rFonts w:ascii="Times New Roman" w:hAnsi="Times New Roman"/>
        </w:rPr>
        <w:t>度。镇区一般建设工程按</w:t>
      </w:r>
      <w:r>
        <w:rPr>
          <w:rFonts w:hint="eastAsia" w:ascii="Times New Roman" w:hAnsi="Times New Roman"/>
          <w:lang w:val="en-US" w:eastAsia="zh-CN"/>
        </w:rPr>
        <w:t>8</w:t>
      </w:r>
      <w:r>
        <w:rPr>
          <w:rFonts w:ascii="Times New Roman" w:hAnsi="Times New Roman"/>
        </w:rPr>
        <w:t>度设防，城市生命线系统及重大工程必须进行地震安全性评估，并根据评价结果进行抗震设防。</w:t>
      </w:r>
    </w:p>
    <w:p w14:paraId="5F0335CB">
      <w:pPr>
        <w:ind w:firstLine="602"/>
        <w:rPr>
          <w:rFonts w:ascii="Times New Roman" w:hAnsi="Times New Roman"/>
        </w:rPr>
      </w:pPr>
      <w:r>
        <w:rPr>
          <w:rFonts w:ascii="Times New Roman" w:hAnsi="Times New Roman"/>
          <w:b/>
          <w:bCs/>
        </w:rPr>
        <w:t>生命线工程。</w:t>
      </w:r>
      <w:r>
        <w:rPr>
          <w:rFonts w:ascii="Times New Roman" w:hAnsi="Times New Roman"/>
        </w:rPr>
        <w:t>建设项目应避开崩塌、滑坡、断层地带；重大建设工程、易产生严重次生灾害的建设项目、大型水利工程、供水、供电、燃气、通信、医疗等重要的生命线工程，必须按照地震安全性评价结果进行抗震设防。</w:t>
      </w:r>
    </w:p>
    <w:p w14:paraId="5FC05226">
      <w:pPr>
        <w:ind w:firstLine="602"/>
        <w:rPr>
          <w:rFonts w:ascii="Times New Roman" w:hAnsi="Times New Roman"/>
          <w:b w:val="0"/>
          <w:bCs w:val="0"/>
        </w:rPr>
      </w:pPr>
      <w:r>
        <w:rPr>
          <w:rFonts w:hint="eastAsia" w:ascii="Times New Roman" w:hAnsi="Times New Roman"/>
          <w:b/>
          <w:bCs/>
        </w:rPr>
        <w:t>应急避难场所。</w:t>
      </w:r>
      <w:r>
        <w:rPr>
          <w:rFonts w:hint="eastAsia" w:ascii="Times New Roman" w:hAnsi="Times New Roman"/>
          <w:b w:val="0"/>
          <w:bCs w:val="0"/>
        </w:rPr>
        <w:t>镇区共规划2处应急避难场所，一是招银希望小学，二是红花铺村委会以南的公园。</w:t>
      </w:r>
      <w:r>
        <w:rPr>
          <w:rFonts w:ascii="Times New Roman" w:hAnsi="Times New Roman"/>
          <w:b w:val="0"/>
          <w:bCs w:val="0"/>
        </w:rPr>
        <w:t>应对</w:t>
      </w:r>
      <w:r>
        <w:rPr>
          <w:rFonts w:hint="eastAsia" w:ascii="Times New Roman" w:hAnsi="Times New Roman"/>
          <w:b w:val="0"/>
          <w:bCs w:val="0"/>
        </w:rPr>
        <w:t>镇区的</w:t>
      </w:r>
      <w:r>
        <w:rPr>
          <w:rFonts w:ascii="Times New Roman" w:hAnsi="Times New Roman"/>
          <w:b w:val="0"/>
          <w:bCs w:val="0"/>
        </w:rPr>
        <w:fldChar w:fldCharType="begin"/>
      </w:r>
      <w:r>
        <w:rPr>
          <w:rFonts w:ascii="Times New Roman" w:hAnsi="Times New Roman"/>
          <w:b w:val="0"/>
          <w:bCs w:val="0"/>
        </w:rPr>
        <w:instrText xml:space="preserve"> HYPERLINK "https://baike.baidu.com/item/%E7%AA%81%E5%8F%91%E5%85%AC%E5%85%B1%E4%BA%8B%E4%BB%B6/2999576?fromModule=lemma_inlink" \t "_blank" </w:instrText>
      </w:r>
      <w:r>
        <w:rPr>
          <w:rFonts w:ascii="Times New Roman" w:hAnsi="Times New Roman"/>
          <w:b w:val="0"/>
          <w:bCs w:val="0"/>
        </w:rPr>
        <w:fldChar w:fldCharType="separate"/>
      </w:r>
      <w:r>
        <w:rPr>
          <w:rFonts w:ascii="Times New Roman" w:hAnsi="Times New Roman"/>
          <w:b w:val="0"/>
          <w:bCs w:val="0"/>
        </w:rPr>
        <w:t>突发公共事件</w:t>
      </w:r>
      <w:r>
        <w:rPr>
          <w:rFonts w:ascii="Times New Roman" w:hAnsi="Times New Roman"/>
          <w:b w:val="0"/>
          <w:bCs w:val="0"/>
        </w:rPr>
        <w:fldChar w:fldCharType="end"/>
      </w:r>
      <w:r>
        <w:rPr>
          <w:rFonts w:ascii="Times New Roman" w:hAnsi="Times New Roman"/>
          <w:b w:val="0"/>
          <w:bCs w:val="0"/>
        </w:rPr>
        <w:t>的安置</w:t>
      </w:r>
      <w:r>
        <w:rPr>
          <w:rFonts w:hint="eastAsia" w:ascii="Times New Roman" w:hAnsi="Times New Roman"/>
          <w:b w:val="0"/>
          <w:bCs w:val="0"/>
        </w:rPr>
        <w:t>区域。</w:t>
      </w:r>
    </w:p>
    <w:p w14:paraId="1C2EA62C">
      <w:pPr>
        <w:pStyle w:val="5"/>
        <w:tabs>
          <w:tab w:val="left" w:pos="420"/>
        </w:tabs>
        <w:ind w:firstLine="602"/>
      </w:pPr>
      <w:r>
        <w:rPr>
          <w:rFonts w:hint="eastAsia"/>
        </w:rPr>
        <w:t>三、消防</w:t>
      </w:r>
    </w:p>
    <w:p w14:paraId="4C85E32C">
      <w:pPr>
        <w:ind w:firstLine="602"/>
      </w:pPr>
      <w:r>
        <w:rPr>
          <w:rFonts w:hint="eastAsia"/>
          <w:b/>
          <w:bCs/>
        </w:rPr>
        <w:t>消防供水。</w:t>
      </w:r>
      <w:r>
        <w:rPr>
          <w:rFonts w:hint="eastAsia"/>
        </w:rPr>
        <w:t>消防取水由镇区现状消防取水处提供。</w:t>
      </w:r>
    </w:p>
    <w:p w14:paraId="02330784">
      <w:pPr>
        <w:ind w:firstLine="602"/>
      </w:pPr>
      <w:r>
        <w:rPr>
          <w:rFonts w:hint="eastAsia"/>
          <w:b/>
          <w:bCs/>
        </w:rPr>
        <w:t>消防栓。</w:t>
      </w:r>
      <w:r>
        <w:rPr>
          <w:rFonts w:hint="eastAsia"/>
        </w:rPr>
        <w:t>消防栓按照最大间距不超过</w:t>
      </w:r>
      <w:r>
        <w:rPr>
          <w:rFonts w:ascii="Times New Roman"/>
        </w:rPr>
        <w:t>120</w:t>
      </w:r>
      <w:r>
        <w:rPr>
          <w:rFonts w:hint="eastAsia"/>
        </w:rPr>
        <w:t>米的要求布置。</w:t>
      </w:r>
    </w:p>
    <w:p w14:paraId="432EEBF3">
      <w:pPr>
        <w:ind w:firstLine="602"/>
      </w:pPr>
      <w:r>
        <w:rPr>
          <w:rFonts w:hint="eastAsia"/>
          <w:b/>
          <w:bCs/>
        </w:rPr>
        <w:t>消防通道。</w:t>
      </w:r>
      <w:r>
        <w:rPr>
          <w:rFonts w:hint="eastAsia"/>
        </w:rPr>
        <w:t>镇区消防通道主要结合主次干道布置，结合新区域建设及旧区改造，使镇区道路中线间距逐步达到横向、纵向均不超过</w:t>
      </w:r>
      <w:r>
        <w:rPr>
          <w:rFonts w:ascii="Times New Roman"/>
        </w:rPr>
        <w:t>160</w:t>
      </w:r>
      <w:r>
        <w:rPr>
          <w:rFonts w:hint="eastAsia"/>
        </w:rPr>
        <w:t>米的要求，以保障消防安全。</w:t>
      </w:r>
    </w:p>
    <w:p w14:paraId="50C5A26A">
      <w:pPr>
        <w:ind w:firstLine="602"/>
      </w:pPr>
      <w:r>
        <w:rPr>
          <w:rFonts w:hint="eastAsia"/>
          <w:b/>
          <w:bCs/>
        </w:rPr>
        <w:t>消防供电、通信。</w:t>
      </w:r>
      <w:r>
        <w:rPr>
          <w:rFonts w:hint="eastAsia"/>
        </w:rPr>
        <w:t>消防指挥中心设双电源供电，由电力部门根据电网情况予以安排；建立安全可靠的消防通信系统，形成联动指挥、调度。</w:t>
      </w:r>
    </w:p>
    <w:p w14:paraId="39AA92F4">
      <w:pPr>
        <w:pStyle w:val="5"/>
        <w:tabs>
          <w:tab w:val="left" w:pos="420"/>
        </w:tabs>
        <w:ind w:firstLine="602"/>
      </w:pPr>
      <w:r>
        <w:rPr>
          <w:rFonts w:hint="eastAsia"/>
        </w:rPr>
        <w:t>四、人防</w:t>
      </w:r>
    </w:p>
    <w:p w14:paraId="06074453">
      <w:pPr>
        <w:ind w:firstLine="602"/>
        <w:rPr>
          <w:rFonts w:ascii="Times New Roman" w:hAnsi="Times New Roman"/>
        </w:rPr>
      </w:pPr>
      <w:r>
        <w:rPr>
          <w:rFonts w:ascii="Times New Roman" w:hAnsi="Times New Roman"/>
          <w:b/>
          <w:bCs/>
        </w:rPr>
        <w:t>人防标准。</w:t>
      </w:r>
      <w:r>
        <w:rPr>
          <w:rFonts w:ascii="Times New Roman" w:hAnsi="Times New Roman"/>
        </w:rPr>
        <w:t>依据国家防空标准划分，</w:t>
      </w:r>
      <w:r>
        <w:rPr>
          <w:rFonts w:hint="eastAsia" w:ascii="Times New Roman" w:hAnsi="Times New Roman"/>
        </w:rPr>
        <w:t>红花铺镇镇</w:t>
      </w:r>
      <w:r>
        <w:rPr>
          <w:rFonts w:ascii="Times New Roman" w:hAnsi="Times New Roman"/>
        </w:rPr>
        <w:t>区属于陕西省一般设防地区。</w:t>
      </w:r>
    </w:p>
    <w:p w14:paraId="3348E332">
      <w:pPr>
        <w:ind w:firstLine="602"/>
        <w:rPr>
          <w:rFonts w:ascii="Times New Roman" w:hAnsi="Times New Roman"/>
          <w:kern w:val="0"/>
        </w:rPr>
      </w:pPr>
      <w:r>
        <w:rPr>
          <w:rFonts w:ascii="Times New Roman" w:hAnsi="Times New Roman"/>
          <w:b/>
          <w:bCs/>
          <w:kern w:val="0"/>
        </w:rPr>
        <w:t>城</w:t>
      </w:r>
      <w:r>
        <w:rPr>
          <w:rFonts w:hint="eastAsia" w:ascii="Times New Roman" w:hAnsi="Times New Roman"/>
          <w:b/>
          <w:bCs/>
          <w:kern w:val="0"/>
        </w:rPr>
        <w:t>镇</w:t>
      </w:r>
      <w:r>
        <w:rPr>
          <w:rFonts w:ascii="Times New Roman" w:hAnsi="Times New Roman"/>
          <w:b/>
          <w:bCs/>
          <w:kern w:val="0"/>
        </w:rPr>
        <w:t>防护规划</w:t>
      </w:r>
      <w:r>
        <w:rPr>
          <w:rFonts w:hint="eastAsia" w:ascii="Times New Roman" w:hAnsi="Times New Roman"/>
          <w:b/>
          <w:bCs/>
          <w:kern w:val="0"/>
        </w:rPr>
        <w:t>。</w:t>
      </w:r>
      <w:r>
        <w:rPr>
          <w:rFonts w:ascii="Times New Roman" w:hAnsi="Times New Roman"/>
          <w:kern w:val="0"/>
        </w:rPr>
        <w:t>城</w:t>
      </w:r>
      <w:r>
        <w:rPr>
          <w:rFonts w:hint="eastAsia" w:ascii="Times New Roman" w:hAnsi="Times New Roman"/>
          <w:kern w:val="0"/>
        </w:rPr>
        <w:t>镇</w:t>
      </w:r>
      <w:r>
        <w:rPr>
          <w:rFonts w:ascii="Times New Roman" w:hAnsi="Times New Roman"/>
          <w:kern w:val="0"/>
        </w:rPr>
        <w:t>绿地系统、城</w:t>
      </w:r>
      <w:r>
        <w:rPr>
          <w:rFonts w:hint="eastAsia" w:ascii="Times New Roman" w:hAnsi="Times New Roman"/>
          <w:kern w:val="0"/>
        </w:rPr>
        <w:t>镇</w:t>
      </w:r>
      <w:r>
        <w:rPr>
          <w:rFonts w:ascii="Times New Roman" w:hAnsi="Times New Roman"/>
          <w:kern w:val="0"/>
        </w:rPr>
        <w:t>生态系统建设同时考虑综合防灾需要，结合战时城</w:t>
      </w:r>
      <w:r>
        <w:rPr>
          <w:rFonts w:hint="eastAsia" w:ascii="Times New Roman" w:hAnsi="Times New Roman"/>
          <w:kern w:val="0"/>
        </w:rPr>
        <w:t>镇</w:t>
      </w:r>
      <w:r>
        <w:rPr>
          <w:rFonts w:ascii="Times New Roman" w:hAnsi="Times New Roman"/>
          <w:kern w:val="0"/>
        </w:rPr>
        <w:t>人口疏散与平时防护要求，合理布置广场、水面和绿地；易燃、易爆和有毒物品的生产和储存选址远离</w:t>
      </w:r>
      <w:r>
        <w:rPr>
          <w:rFonts w:hint="eastAsia" w:ascii="Times New Roman" w:hAnsi="Times New Roman"/>
          <w:kern w:val="0"/>
        </w:rPr>
        <w:t>镇区</w:t>
      </w:r>
      <w:r>
        <w:rPr>
          <w:rFonts w:ascii="Times New Roman" w:hAnsi="Times New Roman"/>
          <w:kern w:val="0"/>
        </w:rPr>
        <w:t>中心区和居民集中区。党政机关、重要的工业企业、桥梁等对外交通设施、水厂、变电站等基础设施、各类危险品仓库是重要防护目标。规划结合</w:t>
      </w:r>
      <w:r>
        <w:rPr>
          <w:rFonts w:hint="eastAsia" w:ascii="Times New Roman" w:hAnsi="Times New Roman"/>
          <w:kern w:val="0"/>
        </w:rPr>
        <w:t>城镇</w:t>
      </w:r>
      <w:r>
        <w:rPr>
          <w:rFonts w:ascii="Times New Roman" w:hAnsi="Times New Roman"/>
          <w:kern w:val="0"/>
        </w:rPr>
        <w:t>道路、抗震和人防规划的要求，</w:t>
      </w:r>
      <w:r>
        <w:rPr>
          <w:rFonts w:hint="eastAsia" w:ascii="Times New Roman" w:hAnsi="Times New Roman"/>
          <w:kern w:val="0"/>
        </w:rPr>
        <w:t>设立</w:t>
      </w:r>
      <w:r>
        <w:rPr>
          <w:rFonts w:ascii="Times New Roman" w:hAnsi="Times New Roman"/>
          <w:kern w:val="0"/>
        </w:rPr>
        <w:t>疏散通道，主要疏散通道包括主要单位交通道路和</w:t>
      </w:r>
      <w:r>
        <w:rPr>
          <w:rFonts w:hint="eastAsia" w:ascii="Times New Roman" w:hAnsi="Times New Roman"/>
          <w:kern w:val="0"/>
        </w:rPr>
        <w:t>城镇</w:t>
      </w:r>
      <w:r>
        <w:rPr>
          <w:rFonts w:ascii="Times New Roman" w:hAnsi="Times New Roman"/>
          <w:kern w:val="0"/>
        </w:rPr>
        <w:t>主干道。</w:t>
      </w:r>
    </w:p>
    <w:p w14:paraId="7010F57A">
      <w:pPr>
        <w:pStyle w:val="5"/>
        <w:tabs>
          <w:tab w:val="left" w:pos="420"/>
        </w:tabs>
        <w:ind w:firstLine="602"/>
      </w:pPr>
      <w:r>
        <w:rPr>
          <w:rFonts w:hint="eastAsia"/>
        </w:rPr>
        <w:t>五、防疫</w:t>
      </w:r>
    </w:p>
    <w:p w14:paraId="003CA7B9">
      <w:pPr>
        <w:ind w:firstLine="600"/>
      </w:pPr>
      <w:r>
        <w:rPr>
          <w:rFonts w:hint="eastAsia"/>
        </w:rPr>
        <w:t>由红花铺镇卫生院成立应急指挥所，安排防疫工作。依据疫情防控经验，坚持按照分级负责、属地管理的原则结合本地行政事权分级管理体制，因地制宜形成层级完善、体系健全、职责清晰、运转高效的城镇与村庄防疫体系。结合人口分布、网格管理、规划单元和城乡生活圈，合理划定防疫分区，构建基本防疫空间单元。</w:t>
      </w:r>
    </w:p>
    <w:p w14:paraId="10364B5E">
      <w:pPr>
        <w:pStyle w:val="4"/>
        <w:tabs>
          <w:tab w:val="left" w:pos="420"/>
        </w:tabs>
        <w:spacing w:before="156" w:after="62"/>
      </w:pPr>
      <w:bookmarkStart w:id="108" w:name="_Toc24568"/>
      <w:bookmarkStart w:id="109" w:name="_Toc26048"/>
      <w:r>
        <w:rPr>
          <w:rFonts w:hint="eastAsia"/>
        </w:rPr>
        <w:t xml:space="preserve">第九节 </w:t>
      </w:r>
      <w:r>
        <w:t xml:space="preserve"> </w:t>
      </w:r>
      <w:r>
        <w:rPr>
          <w:rFonts w:hint="eastAsia"/>
        </w:rPr>
        <w:t>“四线”划定与管控</w:t>
      </w:r>
      <w:bookmarkEnd w:id="108"/>
      <w:bookmarkEnd w:id="109"/>
    </w:p>
    <w:p w14:paraId="1778D69D">
      <w:pPr>
        <w:pStyle w:val="5"/>
        <w:tabs>
          <w:tab w:val="left" w:pos="420"/>
        </w:tabs>
        <w:ind w:firstLine="602"/>
      </w:pPr>
      <w:r>
        <w:rPr>
          <w:rFonts w:hint="eastAsia"/>
        </w:rPr>
        <w:t>一、城市黄线</w:t>
      </w:r>
    </w:p>
    <w:p w14:paraId="04DE146E">
      <w:pPr>
        <w:ind w:firstLine="600"/>
        <w:rPr>
          <w:rFonts w:hint="default" w:ascii="Times New Roman" w:hAnsi="Times New Roman" w:eastAsia="仿宋_GB2312" w:cstheme="minorBidi"/>
          <w:kern w:val="2"/>
          <w:sz w:val="30"/>
          <w:szCs w:val="22"/>
          <w:lang w:val="en-US" w:eastAsia="zh-CN" w:bidi="ar-SA"/>
        </w:rPr>
      </w:pPr>
      <w:r>
        <w:rPr>
          <w:rFonts w:hint="eastAsia" w:ascii="Times New Roman" w:hAnsi="Times New Roman" w:eastAsia="仿宋_GB2312" w:cstheme="minorBidi"/>
          <w:kern w:val="2"/>
          <w:sz w:val="30"/>
          <w:szCs w:val="22"/>
          <w:lang w:val="en-US" w:eastAsia="zh-CN" w:bidi="ar-SA"/>
        </w:rPr>
        <w:t>到2035年，红花铺镇镇区内划定黄线面积0.24公顷。黄线控制区涉及自动气象站，2座污水处理站（规划）。</w:t>
      </w:r>
    </w:p>
    <w:p w14:paraId="5E15C9EB">
      <w:pPr>
        <w:pStyle w:val="2"/>
        <w:ind w:firstLine="600"/>
        <w:rPr>
          <w:sz w:val="30"/>
          <w:szCs w:val="30"/>
        </w:rPr>
      </w:pPr>
      <w:r>
        <w:rPr>
          <w:rFonts w:hint="eastAsia" w:ascii="Times New Roman" w:hAnsi="Times New Roman" w:eastAsia="仿宋_GB2312" w:cstheme="minorBidi"/>
          <w:kern w:val="2"/>
          <w:sz w:val="30"/>
          <w:szCs w:val="22"/>
          <w:lang w:val="en-US" w:eastAsia="zh-CN" w:bidi="ar-SA"/>
        </w:rPr>
        <w:t>“黄线”划定的各项设施的规模、方位不得随意改动，禁止违反规划要求，在“黄线”范围内进行建筑物、构筑物及其他设施的建设；禁止未经批准，改装、迁移或拆毁基础设施。</w:t>
      </w:r>
    </w:p>
    <w:p w14:paraId="21B40411">
      <w:pPr>
        <w:pStyle w:val="5"/>
        <w:tabs>
          <w:tab w:val="left" w:pos="420"/>
        </w:tabs>
        <w:ind w:firstLine="602"/>
      </w:pPr>
      <w:r>
        <w:rPr>
          <w:rFonts w:hint="eastAsia"/>
        </w:rPr>
        <w:t>二、城市绿线</w:t>
      </w:r>
    </w:p>
    <w:p w14:paraId="7DD347DA">
      <w:pPr>
        <w:ind w:firstLine="600"/>
        <w:rPr>
          <w:rFonts w:hint="default" w:eastAsia="仿宋_GB2312"/>
          <w:lang w:val="en-US" w:eastAsia="zh-CN"/>
        </w:rPr>
      </w:pPr>
      <w:r>
        <w:rPr>
          <w:rFonts w:hint="eastAsia"/>
        </w:rPr>
        <w:t>到</w:t>
      </w:r>
      <w:r>
        <w:rPr>
          <w:rFonts w:hint="eastAsia"/>
          <w:lang w:val="en-US" w:eastAsia="zh-CN"/>
        </w:rPr>
        <w:t>2035年</w:t>
      </w:r>
      <w:r>
        <w:rPr>
          <w:rFonts w:hint="eastAsia"/>
        </w:rPr>
        <w:t>，红花铺</w:t>
      </w:r>
      <w:r>
        <w:rPr>
          <w:rFonts w:hint="eastAsia" w:ascii="Times New Roman" w:hAnsi="Times New Roman"/>
          <w:lang w:eastAsia="zh-CN"/>
        </w:rPr>
        <w:t>镇镇区内划定绿线面积</w:t>
      </w:r>
      <w:r>
        <w:rPr>
          <w:rFonts w:hint="eastAsia" w:ascii="Times New Roman" w:hAnsi="Times New Roman"/>
          <w:lang w:val="en-US" w:eastAsia="zh-CN"/>
        </w:rPr>
        <w:t>0.95公顷。</w:t>
      </w:r>
      <w:r>
        <w:rPr>
          <w:rFonts w:hint="eastAsia" w:ascii="Times New Roman" w:hAnsi="Times New Roman"/>
          <w:lang w:eastAsia="zh-CN"/>
        </w:rPr>
        <w:t>绿线控制区涉及公园绿地与防护绿地两种类型，公园绿地主要分布在S219</w:t>
      </w:r>
      <w:r>
        <w:rPr>
          <w:rFonts w:ascii="Times New Roman" w:hAnsi="Times New Roman"/>
        </w:rPr>
        <w:t>路</w:t>
      </w:r>
      <w:r>
        <w:t>边，防护绿地</w:t>
      </w:r>
      <w:r>
        <w:rPr>
          <w:rFonts w:hint="eastAsia"/>
          <w:lang w:eastAsia="zh-CN"/>
        </w:rPr>
        <w:t>主要</w:t>
      </w:r>
      <w:r>
        <w:t>分布在铁路</w:t>
      </w:r>
      <w:r>
        <w:rPr>
          <w:rFonts w:hint="eastAsia"/>
          <w:lang w:val="en-US" w:eastAsia="zh-CN"/>
        </w:rPr>
        <w:t>两侧</w:t>
      </w:r>
      <w:r>
        <w:t>。</w:t>
      </w:r>
    </w:p>
    <w:p w14:paraId="5CDB2F6D">
      <w:pPr>
        <w:ind w:firstLine="600"/>
      </w:pPr>
      <w:r>
        <w:rPr>
          <w:rFonts w:hint="eastAsia"/>
        </w:rPr>
        <w:t>“绿线”范围内原有村庄改造应不扩大现状建设占地规模。绿地范围内允许兼容设置小型的市政、宗教、加油站、公共停车场、体育健身等设施。因市政基础设施、公共设施建设需要等情形修改“绿线”的，应遵循区域绿地规模总量不减少、服务半径不增加、保证绿地系统完整的原则。</w:t>
      </w:r>
    </w:p>
    <w:p w14:paraId="1FCF1647">
      <w:pPr>
        <w:pStyle w:val="5"/>
        <w:tabs>
          <w:tab w:val="left" w:pos="420"/>
        </w:tabs>
        <w:ind w:firstLine="602"/>
      </w:pPr>
      <w:r>
        <w:rPr>
          <w:rFonts w:hint="eastAsia"/>
        </w:rPr>
        <w:t>三、城市蓝线</w:t>
      </w:r>
    </w:p>
    <w:p w14:paraId="0EC1B254">
      <w:pPr>
        <w:ind w:firstLine="600"/>
      </w:pPr>
      <w:r>
        <w:rPr>
          <w:rFonts w:hint="eastAsia"/>
        </w:rPr>
        <w:t>红花铺镇镇区不涉及蓝线。</w:t>
      </w:r>
    </w:p>
    <w:p w14:paraId="5FDF5D20">
      <w:pPr>
        <w:pStyle w:val="5"/>
        <w:tabs>
          <w:tab w:val="left" w:pos="420"/>
        </w:tabs>
        <w:ind w:firstLine="602"/>
      </w:pPr>
      <w:r>
        <w:rPr>
          <w:rFonts w:hint="eastAsia"/>
        </w:rPr>
        <w:t>四、城市紫线</w:t>
      </w:r>
    </w:p>
    <w:p w14:paraId="27A7F4F0">
      <w:pPr>
        <w:ind w:firstLine="600"/>
      </w:pPr>
      <w:r>
        <w:rPr>
          <w:rFonts w:hint="eastAsia"/>
        </w:rPr>
        <w:t>红花铺镇镇区不涉及紫线。</w:t>
      </w:r>
    </w:p>
    <w:p w14:paraId="50A97CE3">
      <w:pPr>
        <w:pStyle w:val="4"/>
        <w:tabs>
          <w:tab w:val="left" w:pos="420"/>
        </w:tabs>
        <w:spacing w:before="156" w:after="62"/>
      </w:pPr>
      <w:bookmarkStart w:id="110" w:name="_Toc19477"/>
      <w:bookmarkStart w:id="111" w:name="_Toc1536"/>
      <w:r>
        <w:rPr>
          <w:rFonts w:hint="eastAsia"/>
        </w:rPr>
        <w:t xml:space="preserve">第十节 </w:t>
      </w:r>
      <w:r>
        <w:t xml:space="preserve"> </w:t>
      </w:r>
      <w:r>
        <w:rPr>
          <w:rFonts w:hint="eastAsia"/>
        </w:rPr>
        <w:t>风貌引导</w:t>
      </w:r>
      <w:bookmarkEnd w:id="110"/>
      <w:bookmarkEnd w:id="111"/>
    </w:p>
    <w:p w14:paraId="4D5A78C2">
      <w:pPr>
        <w:pStyle w:val="5"/>
        <w:tabs>
          <w:tab w:val="left" w:pos="420"/>
        </w:tabs>
        <w:ind w:firstLine="602"/>
      </w:pPr>
      <w:r>
        <w:rPr>
          <w:rFonts w:hint="eastAsia"/>
        </w:rPr>
        <w:t>一、风貌定位</w:t>
      </w:r>
    </w:p>
    <w:p w14:paraId="74A4567D">
      <w:pPr>
        <w:ind w:firstLine="600"/>
      </w:pPr>
      <w:r>
        <w:rPr>
          <w:rFonts w:hint="eastAsia"/>
        </w:rPr>
        <w:t>依据红花铺镇镇区现状建筑风貌和当地历史文化等因素，结合徽派民居的建筑形制，确定红花铺镇风貌定位为“白墙黛瓦马头墙”，即：白墙面、灰色瓦、马头墙。</w:t>
      </w:r>
    </w:p>
    <w:p w14:paraId="5C696144">
      <w:pPr>
        <w:pStyle w:val="5"/>
        <w:tabs>
          <w:tab w:val="left" w:pos="420"/>
        </w:tabs>
        <w:ind w:firstLine="602"/>
      </w:pPr>
      <w:r>
        <w:rPr>
          <w:rFonts w:hint="eastAsia"/>
        </w:rPr>
        <w:t>二、风貌分区与特色保护</w:t>
      </w:r>
    </w:p>
    <w:p w14:paraId="196A3113">
      <w:pPr>
        <w:ind w:firstLine="602"/>
        <w:rPr>
          <w:rFonts w:hint="eastAsia" w:ascii="仿宋_GB2312" w:hAnsi="仿宋_GB2312" w:cs="仿宋_GB2312"/>
          <w:szCs w:val="30"/>
        </w:rPr>
      </w:pPr>
      <w:r>
        <w:rPr>
          <w:rFonts w:hint="eastAsia"/>
          <w:b/>
          <w:bCs/>
        </w:rPr>
        <w:t>老城传统风貌区。</w:t>
      </w:r>
      <w:r>
        <w:rPr>
          <w:rFonts w:hint="eastAsia" w:ascii="仿宋_GB2312" w:hAnsi="仿宋_GB2312" w:cs="仿宋_GB2312"/>
          <w:szCs w:val="30"/>
        </w:rPr>
        <w:t>位于现状</w:t>
      </w:r>
      <w:r>
        <w:rPr>
          <w:rFonts w:hint="eastAsia"/>
        </w:rPr>
        <w:t>镇区建成区，</w:t>
      </w:r>
      <w:r>
        <w:rPr>
          <w:rFonts w:hint="eastAsia" w:ascii="仿宋_GB2312" w:hAnsi="仿宋_GB2312" w:cs="仿宋_GB2312"/>
          <w:szCs w:val="30"/>
        </w:rPr>
        <w:t>保持原有传统建筑形态、色彩与风格，</w:t>
      </w:r>
      <w:r>
        <w:rPr>
          <w:rFonts w:ascii="仿宋_GB2312" w:hAnsi="仿宋_GB2312" w:cs="仿宋_GB2312"/>
          <w:szCs w:val="30"/>
        </w:rPr>
        <w:t>完善</w:t>
      </w:r>
      <w:r>
        <w:rPr>
          <w:rFonts w:hint="eastAsia" w:ascii="仿宋_GB2312" w:hAnsi="仿宋_GB2312" w:cs="仿宋_GB2312"/>
          <w:szCs w:val="30"/>
        </w:rPr>
        <w:t>公共服务和基础设施</w:t>
      </w:r>
      <w:r>
        <w:rPr>
          <w:rFonts w:ascii="仿宋_GB2312" w:hAnsi="仿宋_GB2312" w:cs="仿宋_GB2312"/>
          <w:szCs w:val="30"/>
        </w:rPr>
        <w:t>配套，提升</w:t>
      </w:r>
      <w:r>
        <w:rPr>
          <w:rFonts w:hint="eastAsia" w:ascii="仿宋_GB2312" w:hAnsi="仿宋_GB2312" w:cs="仿宋_GB2312"/>
          <w:szCs w:val="30"/>
        </w:rPr>
        <w:t>空间</w:t>
      </w:r>
      <w:r>
        <w:rPr>
          <w:rFonts w:ascii="仿宋_GB2312" w:hAnsi="仿宋_GB2312" w:cs="仿宋_GB2312"/>
          <w:szCs w:val="30"/>
        </w:rPr>
        <w:t>环境品质</w:t>
      </w:r>
      <w:r>
        <w:rPr>
          <w:rFonts w:hint="eastAsia" w:ascii="仿宋_GB2312" w:hAnsi="仿宋_GB2312" w:cs="仿宋_GB2312"/>
          <w:szCs w:val="30"/>
        </w:rPr>
        <w:t>与形象。</w:t>
      </w:r>
    </w:p>
    <w:p w14:paraId="3AA3E19F">
      <w:pPr>
        <w:ind w:firstLine="602"/>
        <w:rPr>
          <w:rFonts w:hint="eastAsia" w:ascii="仿宋_GB2312" w:hAnsi="仿宋_GB2312" w:cs="仿宋_GB2312"/>
          <w:szCs w:val="30"/>
        </w:rPr>
      </w:pPr>
      <w:r>
        <w:rPr>
          <w:rFonts w:hint="eastAsia" w:ascii="仿宋_GB2312" w:hAnsi="仿宋_GB2312" w:cs="仿宋_GB2312"/>
          <w:b/>
          <w:bCs/>
          <w:szCs w:val="30"/>
        </w:rPr>
        <w:t>现代新城风貌区。</w:t>
      </w:r>
      <w:r>
        <w:rPr>
          <w:rFonts w:hint="eastAsia" w:ascii="仿宋_GB2312" w:hAnsi="仿宋_GB2312" w:cs="仿宋_GB2312"/>
          <w:szCs w:val="30"/>
        </w:rPr>
        <w:t>位于嘉陵江</w:t>
      </w:r>
      <w:r>
        <w:rPr>
          <w:rFonts w:hint="eastAsia" w:ascii="仿宋_GB2312" w:hAnsi="仿宋_GB2312" w:cs="仿宋_GB2312"/>
          <w:szCs w:val="30"/>
          <w:lang w:val="en-US" w:eastAsia="zh-CN"/>
        </w:rPr>
        <w:t>右</w:t>
      </w:r>
      <w:r>
        <w:rPr>
          <w:rFonts w:hint="eastAsia" w:ascii="仿宋_GB2312" w:hAnsi="仿宋_GB2312" w:cs="仿宋_GB2312"/>
          <w:szCs w:val="30"/>
        </w:rPr>
        <w:t>岸现状村庄区，未来布局设计时要注重建筑风格形态与色彩样式的融合与过渡。</w:t>
      </w:r>
    </w:p>
    <w:p w14:paraId="61F73393">
      <w:pPr>
        <w:pStyle w:val="5"/>
        <w:tabs>
          <w:tab w:val="left" w:pos="420"/>
        </w:tabs>
        <w:ind w:firstLine="602"/>
      </w:pPr>
      <w:r>
        <w:rPr>
          <w:rFonts w:hint="eastAsia"/>
        </w:rPr>
        <w:t>三、高度分区与强度控制</w:t>
      </w:r>
    </w:p>
    <w:p w14:paraId="27050E5C">
      <w:pPr>
        <w:pStyle w:val="74"/>
        <w:ind w:firstLine="600"/>
      </w:pPr>
      <w:r>
        <w:t>统筹现状考虑发展，按照不同类型用地开发强度需求，规划将镇区分为开敞空间、低强度区、中强度区三个分区。</w:t>
      </w:r>
    </w:p>
    <w:p w14:paraId="676A0809">
      <w:pPr>
        <w:pStyle w:val="74"/>
        <w:ind w:firstLine="600"/>
      </w:pPr>
      <w:r>
        <w:t>开敞空间：主要指公园绿地、广场用地及社会停车场站用地。</w:t>
      </w:r>
    </w:p>
    <w:p w14:paraId="6CE690C8">
      <w:pPr>
        <w:pStyle w:val="74"/>
        <w:ind w:firstLine="600"/>
      </w:pPr>
      <w:r>
        <w:t>低强度区：主要包括镇区的医院、</w:t>
      </w:r>
      <w:r>
        <w:rPr>
          <w:rFonts w:hint="eastAsia"/>
          <w:lang w:val="en-US" w:eastAsia="zh-CN"/>
        </w:rPr>
        <w:t>养老服务中心</w:t>
      </w:r>
      <w:r>
        <w:t>、文化体育设施、中小学、居住区等，以低、多层建筑为主，整体容积率0.8≤f≤1.2，整体建筑密度控制在25-30%之间，整体建筑高度控制在20米以下。</w:t>
      </w:r>
    </w:p>
    <w:p w14:paraId="720AC483">
      <w:pPr>
        <w:pStyle w:val="74"/>
        <w:ind w:firstLine="600"/>
        <w:rPr>
          <w:highlight w:val="yellow"/>
        </w:rPr>
      </w:pPr>
      <w:r>
        <w:t>中强度区：主要包括镇区公共服务中心的核心区、城镇重要节点和新建居住区等地区，属于多层建筑发展区，整体容积率1.0≤f≤2.0，整体建筑密度控制在30-35%之间，整体建筑高度控制在35米以下。</w:t>
      </w:r>
    </w:p>
    <w:p w14:paraId="6FDC125C">
      <w:pPr>
        <w:pStyle w:val="5"/>
        <w:tabs>
          <w:tab w:val="left" w:pos="420"/>
        </w:tabs>
        <w:ind w:firstLine="602"/>
      </w:pPr>
      <w:r>
        <w:rPr>
          <w:rFonts w:hint="eastAsia"/>
        </w:rPr>
        <w:t>四、建筑风格与色彩控制</w:t>
      </w:r>
    </w:p>
    <w:p w14:paraId="2A0C3A1C">
      <w:pPr>
        <w:ind w:firstLine="600"/>
      </w:pPr>
      <w:r>
        <w:rPr>
          <w:rFonts w:hint="eastAsia"/>
        </w:rPr>
        <w:t>镇区建筑以徽派建筑为基调，以现状建筑为特色，形成具有凤县特色的徽派建筑风格。</w:t>
      </w:r>
    </w:p>
    <w:p w14:paraId="4E8DA42E">
      <w:pPr>
        <w:ind w:firstLine="602"/>
      </w:pPr>
      <w:r>
        <w:rPr>
          <w:rFonts w:hint="eastAsia"/>
        </w:rPr>
        <w:t>镇区建筑色彩控制整体延续原有镇区风貌色彩，以白墙灰瓦为基调，在原有的基础上</w:t>
      </w:r>
      <w:r>
        <w:rPr>
          <w:rFonts w:hint="eastAsia"/>
          <w:lang w:eastAsia="zh-CN"/>
        </w:rPr>
        <w:t>进行</w:t>
      </w:r>
      <w:r>
        <w:rPr>
          <w:rFonts w:hint="eastAsia"/>
        </w:rPr>
        <w:t>提升改造。公共建筑以黄色、白色为主。居住建筑总体基调应以暖色调为主。</w:t>
      </w:r>
    </w:p>
    <w:p w14:paraId="7E66E29D">
      <w:pPr>
        <w:ind w:firstLine="600"/>
      </w:pPr>
    </w:p>
    <w:p w14:paraId="5105293B">
      <w:pPr>
        <w:ind w:firstLine="600"/>
        <w:rPr>
          <w:rFonts w:ascii="Times New Roman" w:hAnsi="Times New Roman" w:cs="Times New Roman"/>
          <w:szCs w:val="30"/>
        </w:rPr>
        <w:sectPr>
          <w:headerReference r:id="rId24" w:type="default"/>
          <w:pgSz w:w="11906" w:h="16838"/>
          <w:pgMar w:top="1701" w:right="1418" w:bottom="1531" w:left="1701" w:header="1134" w:footer="737" w:gutter="0"/>
          <w:cols w:space="425" w:num="1"/>
          <w:docGrid w:type="lines" w:linePitch="408" w:charSpace="0"/>
        </w:sectPr>
      </w:pPr>
    </w:p>
    <w:p w14:paraId="4342B110">
      <w:pPr>
        <w:pStyle w:val="3"/>
        <w:spacing w:before="204" w:after="81"/>
        <w:ind w:firstLine="0" w:firstLineChars="0"/>
        <w:rPr>
          <w:rFonts w:ascii="Times New Roman" w:hAnsi="Times New Roman" w:cs="Times New Roman"/>
          <w:b/>
          <w:bCs w:val="0"/>
        </w:rPr>
      </w:pPr>
      <w:bookmarkStart w:id="112" w:name="_Toc26912"/>
      <w:bookmarkStart w:id="113" w:name="_Toc31702"/>
      <w:r>
        <w:rPr>
          <w:rFonts w:ascii="Times New Roman" w:hAnsi="Times New Roman" w:cs="Times New Roman"/>
          <w:b/>
          <w:bCs w:val="0"/>
        </w:rPr>
        <w:t xml:space="preserve">第十章  </w:t>
      </w:r>
      <w:r>
        <w:rPr>
          <w:rFonts w:hint="eastAsia" w:ascii="Times New Roman" w:hAnsi="Times New Roman" w:cs="Times New Roman"/>
          <w:b/>
          <w:bCs w:val="0"/>
        </w:rPr>
        <w:t>规划实施保障</w:t>
      </w:r>
      <w:bookmarkEnd w:id="112"/>
      <w:bookmarkEnd w:id="113"/>
    </w:p>
    <w:p w14:paraId="644CB3A1">
      <w:pPr>
        <w:pStyle w:val="4"/>
        <w:spacing w:before="204" w:after="81"/>
        <w:ind w:firstLine="0" w:firstLineChars="0"/>
        <w:rPr>
          <w:rFonts w:ascii="Times New Roman" w:hAnsi="Times New Roman" w:cs="Times New Roman"/>
        </w:rPr>
      </w:pPr>
      <w:bookmarkStart w:id="114" w:name="_Toc28293"/>
      <w:bookmarkStart w:id="115" w:name="_Toc20166"/>
      <w:r>
        <w:rPr>
          <w:rFonts w:hint="eastAsia" w:ascii="Times New Roman" w:hAnsi="Times New Roman" w:cs="Times New Roman"/>
        </w:rPr>
        <w:t>第一节</w:t>
      </w:r>
      <w:r>
        <w:rPr>
          <w:rFonts w:hint="eastAsia" w:ascii="Times New Roman" w:hAnsi="Times New Roman" w:cs="Times New Roman"/>
          <w:lang w:val="en-US" w:eastAsia="zh-CN"/>
        </w:rPr>
        <w:t xml:space="preserve">  </w:t>
      </w:r>
      <w:r>
        <w:rPr>
          <w:rFonts w:hint="eastAsia" w:ascii="Times New Roman" w:hAnsi="Times New Roman" w:cs="Times New Roman"/>
        </w:rPr>
        <w:t>规划传导与指引</w:t>
      </w:r>
      <w:bookmarkEnd w:id="114"/>
      <w:bookmarkEnd w:id="115"/>
    </w:p>
    <w:p w14:paraId="622AE9DF">
      <w:pPr>
        <w:pStyle w:val="5"/>
        <w:widowControl w:val="0"/>
        <w:numPr>
          <w:ilvl w:val="0"/>
          <w:numId w:val="20"/>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镇区详细规划传导</w:t>
      </w:r>
    </w:p>
    <w:p w14:paraId="149F8CB8">
      <w:pPr>
        <w:ind w:firstLine="600"/>
        <w:rPr>
          <w:rFonts w:hint="eastAsia" w:ascii="仿宋_GB2312" w:hAnsi="仿宋" w:cs="Times New Roman"/>
          <w:color w:val="auto"/>
          <w:sz w:val="30"/>
          <w:szCs w:val="30"/>
          <w:lang w:val="en-US" w:eastAsia="zh-CN"/>
        </w:rPr>
      </w:pPr>
      <w:r>
        <w:rPr>
          <w:rFonts w:hint="eastAsia" w:ascii="仿宋_GB2312" w:hAnsi="仿宋" w:eastAsia="仿宋_GB2312" w:cs="Times New Roman"/>
          <w:color w:val="auto"/>
          <w:sz w:val="30"/>
          <w:szCs w:val="30"/>
          <w:lang w:val="en-US" w:eastAsia="zh-CN"/>
        </w:rPr>
        <w:t>城镇开发边界以内，编制控制性详细规划，作为指导项目建设的法定依据。红花铺镇镇区划定3个详细规划编制单元</w:t>
      </w:r>
      <w:r>
        <w:rPr>
          <w:rFonts w:hint="eastAsia" w:ascii="仿宋_GB2312" w:hAnsi="仿宋" w:cs="Times New Roman"/>
          <w:color w:val="auto"/>
          <w:sz w:val="30"/>
          <w:szCs w:val="30"/>
          <w:lang w:val="en-US" w:eastAsia="zh-CN"/>
        </w:rPr>
        <w: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9"/>
      </w:tblGrid>
      <w:tr w14:paraId="0605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719" w:type="dxa"/>
          </w:tcPr>
          <w:p w14:paraId="539D530E">
            <w:pPr>
              <w:pStyle w:val="2"/>
              <w:keepNext w:val="0"/>
              <w:keepLines w:val="0"/>
              <w:pageBreakBefore w:val="0"/>
              <w:widowControl w:val="0"/>
              <w:kinsoku/>
              <w:wordWrap/>
              <w:overflowPunct/>
              <w:topLinePunct w:val="0"/>
              <w:autoSpaceDE/>
              <w:autoSpaceDN/>
              <w:bidi w:val="0"/>
              <w:adjustRightInd/>
              <w:snapToGrid/>
              <w:spacing w:afterLines="0"/>
              <w:jc w:val="center"/>
              <w:textAlignment w:val="auto"/>
            </w:pPr>
            <w:r>
              <w:rPr>
                <w:rFonts w:hint="eastAsia" w:eastAsia="仿宋_GB2312" w:cs="Times New Roman"/>
                <w:b/>
                <w:bCs/>
                <w:sz w:val="24"/>
                <w:szCs w:val="21"/>
                <w:lang w:val="en-US" w:eastAsia="zh-CN"/>
              </w:rPr>
              <w:t>专栏2 镇区详细规划编制引导</w:t>
            </w:r>
          </w:p>
        </w:tc>
      </w:tr>
      <w:tr w14:paraId="6CEA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tcPr>
          <w:p w14:paraId="1987ADA6">
            <w:pPr>
              <w:keepNext w:val="0"/>
              <w:keepLines w:val="0"/>
              <w:pageBreakBefore w:val="0"/>
              <w:kinsoku/>
              <w:wordWrap/>
              <w:overflowPunct/>
              <w:topLinePunct w:val="0"/>
              <w:autoSpaceDE/>
              <w:autoSpaceDN/>
              <w:bidi w:val="0"/>
              <w:adjustRightInd/>
              <w:snapToGrid/>
              <w:spacing w:line="240" w:lineRule="auto"/>
              <w:ind w:firstLine="482"/>
              <w:textAlignment w:val="auto"/>
              <w:rPr>
                <w:rFonts w:ascii="Times New Roman" w:hAnsi="Times New Roman"/>
                <w:b/>
                <w:bCs/>
                <w:sz w:val="24"/>
              </w:rPr>
            </w:pPr>
            <w:r>
              <w:rPr>
                <w:rFonts w:ascii="Times New Roman" w:hAnsi="Times New Roman"/>
                <w:b/>
                <w:bCs/>
                <w:sz w:val="24"/>
              </w:rPr>
              <w:t>1、综合服务区编制单元：</w:t>
            </w:r>
          </w:p>
          <w:p w14:paraId="0558A40A">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Times New Roman" w:hAnsi="Times New Roman" w:cs="Times New Roman"/>
                <w:sz w:val="24"/>
                <w:szCs w:val="24"/>
              </w:rPr>
            </w:pPr>
            <w:r>
              <w:rPr>
                <w:rFonts w:ascii="Times New Roman" w:hAnsi="Times New Roman" w:cs="Times New Roman"/>
                <w:sz w:val="24"/>
                <w:szCs w:val="24"/>
              </w:rPr>
              <w:t>主导功能：行政办公、文化展示、传统商贸、居住生活服务等。</w:t>
            </w:r>
          </w:p>
          <w:p w14:paraId="26333223">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Times New Roman" w:hAnsi="Times New Roman" w:cs="Times New Roman"/>
                <w:sz w:val="24"/>
                <w:szCs w:val="24"/>
              </w:rPr>
            </w:pPr>
            <w:r>
              <w:rPr>
                <w:rFonts w:ascii="Times New Roman" w:hAnsi="Times New Roman" w:cs="Times New Roman"/>
                <w:sz w:val="24"/>
                <w:szCs w:val="24"/>
              </w:rPr>
              <w:t>建设指引：积极推进镇区低效用地改造；完善基础设施，优化公共服务设施，改善镇区嘉陵江河道景观环境，打造绿化景观节点，提升镇区生活环境品质。</w:t>
            </w:r>
          </w:p>
          <w:p w14:paraId="6B70518E">
            <w:pPr>
              <w:keepNext w:val="0"/>
              <w:keepLines w:val="0"/>
              <w:pageBreakBefore w:val="0"/>
              <w:kinsoku/>
              <w:wordWrap/>
              <w:overflowPunct/>
              <w:topLinePunct w:val="0"/>
              <w:autoSpaceDE/>
              <w:autoSpaceDN/>
              <w:bidi w:val="0"/>
              <w:adjustRightInd/>
              <w:snapToGrid/>
              <w:spacing w:line="240" w:lineRule="auto"/>
              <w:ind w:firstLine="482"/>
              <w:textAlignment w:val="auto"/>
              <w:rPr>
                <w:rFonts w:ascii="Times New Roman" w:hAnsi="Times New Roman"/>
                <w:b/>
                <w:bCs/>
                <w:sz w:val="24"/>
              </w:rPr>
            </w:pPr>
            <w:r>
              <w:rPr>
                <w:rFonts w:ascii="Times New Roman" w:hAnsi="Times New Roman"/>
                <w:b/>
                <w:bCs/>
                <w:sz w:val="24"/>
              </w:rPr>
              <w:t>2、生态宜居区编制单元：</w:t>
            </w:r>
          </w:p>
          <w:p w14:paraId="4BD0507B">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Times New Roman" w:hAnsi="Times New Roman" w:cs="Times New Roman"/>
                <w:sz w:val="24"/>
                <w:szCs w:val="24"/>
              </w:rPr>
            </w:pPr>
            <w:r>
              <w:rPr>
                <w:rFonts w:ascii="Times New Roman" w:hAnsi="Times New Roman" w:cs="Times New Roman"/>
                <w:sz w:val="24"/>
                <w:szCs w:val="24"/>
              </w:rPr>
              <w:t>主导功能：</w:t>
            </w:r>
            <w:r>
              <w:rPr>
                <w:rFonts w:hint="eastAsia" w:ascii="Times New Roman" w:hAnsi="Times New Roman" w:cs="Times New Roman"/>
                <w:sz w:val="24"/>
                <w:szCs w:val="24"/>
              </w:rPr>
              <w:t>居住</w:t>
            </w:r>
            <w:r>
              <w:rPr>
                <w:rFonts w:ascii="Times New Roman" w:hAnsi="Times New Roman" w:cs="Times New Roman"/>
                <w:sz w:val="24"/>
                <w:szCs w:val="24"/>
              </w:rPr>
              <w:t>、</w:t>
            </w:r>
            <w:r>
              <w:rPr>
                <w:rFonts w:hint="eastAsia" w:ascii="Times New Roman" w:hAnsi="Times New Roman" w:cs="Times New Roman"/>
                <w:sz w:val="24"/>
                <w:szCs w:val="24"/>
              </w:rPr>
              <w:t>商业、</w:t>
            </w:r>
            <w:r>
              <w:rPr>
                <w:rFonts w:ascii="Times New Roman" w:hAnsi="Times New Roman" w:cs="Times New Roman"/>
                <w:sz w:val="24"/>
                <w:szCs w:val="24"/>
              </w:rPr>
              <w:t>物流</w:t>
            </w:r>
            <w:r>
              <w:rPr>
                <w:rFonts w:hint="eastAsia" w:ascii="Times New Roman" w:hAnsi="Times New Roman" w:cs="Times New Roman"/>
                <w:sz w:val="24"/>
                <w:szCs w:val="24"/>
              </w:rPr>
              <w:t>业</w:t>
            </w:r>
            <w:r>
              <w:rPr>
                <w:rFonts w:ascii="Times New Roman" w:hAnsi="Times New Roman" w:cs="Times New Roman"/>
                <w:sz w:val="24"/>
                <w:szCs w:val="24"/>
              </w:rPr>
              <w:t>。</w:t>
            </w:r>
          </w:p>
          <w:p w14:paraId="53A359DA">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ascii="Times New Roman" w:hAnsi="Times New Roman" w:cs="Times New Roman"/>
                <w:sz w:val="24"/>
                <w:szCs w:val="24"/>
              </w:rPr>
            </w:pPr>
            <w:r>
              <w:rPr>
                <w:rFonts w:ascii="Times New Roman" w:hAnsi="Times New Roman" w:cs="Times New Roman"/>
                <w:sz w:val="24"/>
                <w:szCs w:val="24"/>
              </w:rPr>
              <w:t>建设指引：完善</w:t>
            </w:r>
            <w:r>
              <w:rPr>
                <w:rFonts w:hint="eastAsia" w:ascii="Times New Roman" w:hAnsi="Times New Roman" w:cs="Times New Roman"/>
                <w:sz w:val="24"/>
                <w:szCs w:val="24"/>
              </w:rPr>
              <w:t>公共服务设施和</w:t>
            </w:r>
            <w:r>
              <w:rPr>
                <w:rFonts w:ascii="Times New Roman" w:hAnsi="Times New Roman" w:cs="Times New Roman"/>
                <w:sz w:val="24"/>
                <w:szCs w:val="24"/>
              </w:rPr>
              <w:t>基础设施支撑，改善</w:t>
            </w:r>
            <w:r>
              <w:rPr>
                <w:rFonts w:hint="eastAsia" w:ascii="Times New Roman" w:hAnsi="Times New Roman" w:cs="Times New Roman"/>
                <w:sz w:val="24"/>
                <w:szCs w:val="24"/>
              </w:rPr>
              <w:t>居住环境，提升对外展示门户效果</w:t>
            </w:r>
            <w:r>
              <w:rPr>
                <w:rFonts w:ascii="Times New Roman" w:hAnsi="Times New Roman" w:cs="Times New Roman"/>
                <w:sz w:val="24"/>
                <w:szCs w:val="24"/>
              </w:rPr>
              <w:t>。</w:t>
            </w:r>
          </w:p>
          <w:p w14:paraId="1CFA84C1">
            <w:pPr>
              <w:keepNext w:val="0"/>
              <w:keepLines w:val="0"/>
              <w:pageBreakBefore w:val="0"/>
              <w:kinsoku/>
              <w:wordWrap/>
              <w:overflowPunct/>
              <w:topLinePunct w:val="0"/>
              <w:autoSpaceDE/>
              <w:autoSpaceDN/>
              <w:bidi w:val="0"/>
              <w:adjustRightInd/>
              <w:snapToGrid/>
              <w:spacing w:line="240" w:lineRule="auto"/>
              <w:ind w:firstLine="482"/>
              <w:textAlignment w:val="auto"/>
              <w:rPr>
                <w:rFonts w:ascii="Times New Roman" w:hAnsi="Times New Roman"/>
                <w:b/>
                <w:bCs/>
                <w:sz w:val="24"/>
              </w:rPr>
            </w:pPr>
            <w:r>
              <w:rPr>
                <w:rFonts w:ascii="Times New Roman" w:hAnsi="Times New Roman"/>
                <w:b/>
                <w:bCs/>
                <w:sz w:val="24"/>
              </w:rPr>
              <w:t>3、工业发展区编制单元：</w:t>
            </w:r>
          </w:p>
          <w:p w14:paraId="1023BDD0">
            <w:pPr>
              <w:keepNext w:val="0"/>
              <w:keepLines w:val="0"/>
              <w:pageBreakBefore w:val="0"/>
              <w:kinsoku/>
              <w:wordWrap/>
              <w:overflowPunct/>
              <w:topLinePunct w:val="0"/>
              <w:autoSpaceDE/>
              <w:autoSpaceDN/>
              <w:bidi w:val="0"/>
              <w:adjustRightInd/>
              <w:snapToGrid/>
              <w:spacing w:line="240" w:lineRule="auto"/>
              <w:ind w:firstLine="480"/>
              <w:jc w:val="left"/>
              <w:textAlignment w:val="auto"/>
              <w:rPr>
                <w:rFonts w:ascii="仿宋_GB2312" w:hAnsi="仿宋_GB2312" w:cs="仿宋_GB2312"/>
                <w:sz w:val="24"/>
              </w:rPr>
            </w:pPr>
            <w:r>
              <w:rPr>
                <w:rFonts w:hint="eastAsia" w:ascii="仿宋_GB2312" w:hAnsi="仿宋_GB2312" w:cs="仿宋_GB2312"/>
                <w:sz w:val="24"/>
              </w:rPr>
              <w:t>主导功能：加工制造业和商贸物流。</w:t>
            </w:r>
          </w:p>
          <w:p w14:paraId="1C36888C">
            <w:pPr>
              <w:keepNext w:val="0"/>
              <w:keepLines w:val="0"/>
              <w:pageBreakBefore w:val="0"/>
              <w:kinsoku/>
              <w:wordWrap/>
              <w:overflowPunct/>
              <w:topLinePunct w:val="0"/>
              <w:autoSpaceDE/>
              <w:autoSpaceDN/>
              <w:bidi w:val="0"/>
              <w:adjustRightInd/>
              <w:snapToGrid/>
              <w:spacing w:line="240" w:lineRule="auto"/>
              <w:jc w:val="left"/>
              <w:textAlignment w:val="auto"/>
            </w:pPr>
            <w:r>
              <w:rPr>
                <w:rFonts w:hint="eastAsia" w:ascii="仿宋_GB2312" w:hAnsi="仿宋_GB2312" w:cs="仿宋_GB2312"/>
                <w:sz w:val="24"/>
              </w:rPr>
              <w:t>建设指引：优化空间布局和完善基础设施支撑，改善嘉陵江河道景观环境</w:t>
            </w:r>
            <w:r>
              <w:rPr>
                <w:rFonts w:hint="eastAsia" w:ascii="仿宋_GB2312" w:hAnsi="仿宋_GB2312" w:eastAsia="仿宋_GB2312" w:cs="仿宋_GB2312"/>
                <w:sz w:val="24"/>
              </w:rPr>
              <w:t>。</w:t>
            </w:r>
          </w:p>
        </w:tc>
      </w:tr>
    </w:tbl>
    <w:p w14:paraId="070E34FA">
      <w:pPr>
        <w:pStyle w:val="5"/>
        <w:widowControl w:val="0"/>
        <w:numPr>
          <w:ilvl w:val="0"/>
          <w:numId w:val="20"/>
        </w:numPr>
        <w:tabs>
          <w:tab w:val="left" w:pos="420"/>
        </w:tabs>
        <w:spacing w:beforeAutospacing="1" w:line="240" w:lineRule="auto"/>
        <w:ind w:left="102" w:firstLine="602"/>
        <w:rPr>
          <w:rFonts w:hint="eastAsia" w:ascii="仿宋_GB2312" w:hAnsi="仿宋" w:cs="Times New Roman"/>
          <w:szCs w:val="30"/>
        </w:rPr>
      </w:pPr>
      <w:r>
        <w:rPr>
          <w:rFonts w:hint="eastAsia" w:ascii="仿宋_GB2312" w:hAnsi="仿宋" w:cs="Times New Roman"/>
          <w:szCs w:val="30"/>
        </w:rPr>
        <w:t>村庄规划</w:t>
      </w:r>
      <w:r>
        <w:rPr>
          <w:rFonts w:hint="eastAsia" w:ascii="仿宋_GB2312" w:hAnsi="仿宋" w:cs="Times New Roman"/>
          <w:szCs w:val="30"/>
          <w:lang w:eastAsia="zh-CN"/>
        </w:rPr>
        <w:t>传导</w:t>
      </w:r>
    </w:p>
    <w:p w14:paraId="5ED1E7E4">
      <w:pPr>
        <w:pStyle w:val="6"/>
        <w:widowControl w:val="0"/>
        <w:numPr>
          <w:ilvl w:val="0"/>
          <w:numId w:val="21"/>
        </w:numPr>
        <w:spacing w:before="100" w:beforeAutospacing="1" w:line="240" w:lineRule="auto"/>
        <w:ind w:firstLine="602"/>
        <w:rPr>
          <w:rFonts w:hint="eastAsia" w:ascii="仿宋_GB2312" w:hAnsi="仿宋" w:cs="Times New Roman"/>
          <w:b/>
          <w:szCs w:val="30"/>
          <w:lang w:val="en-US" w:eastAsia="zh-CN"/>
        </w:rPr>
      </w:pPr>
      <w:r>
        <w:rPr>
          <w:rFonts w:hint="eastAsia" w:ascii="仿宋_GB2312" w:hAnsi="仿宋" w:cs="Times New Roman"/>
          <w:b/>
          <w:szCs w:val="30"/>
          <w:lang w:val="en-US" w:eastAsia="zh-CN"/>
        </w:rPr>
        <w:t>上位规划的落实</w:t>
      </w:r>
    </w:p>
    <w:p w14:paraId="6C9A3A97">
      <w:pPr>
        <w:ind w:firstLine="600"/>
        <w:rPr>
          <w:rFonts w:hint="eastAsia" w:ascii="Times New Roman" w:hAnsi="Times New Roman" w:cs="Times New Roman"/>
          <w:b w:val="0"/>
          <w:bCs w:val="0"/>
          <w:szCs w:val="30"/>
          <w:highlight w:val="none"/>
          <w:lang w:val="en-US" w:eastAsia="zh-CN"/>
        </w:rPr>
      </w:pPr>
      <w:r>
        <w:rPr>
          <w:rFonts w:hint="eastAsia" w:ascii="Times New Roman" w:hAnsi="Times New Roman" w:cs="Times New Roman"/>
          <w:szCs w:val="30"/>
          <w:highlight w:val="none"/>
          <w:lang w:val="en-US" w:eastAsia="zh-CN"/>
        </w:rPr>
        <w:t>根据凤县国土空间总体规划的相关指标，在镇域进行落实。其中约束性指标：生态保护红线12345.99公顷、永久基本农田</w:t>
      </w:r>
      <w:r>
        <w:rPr>
          <w:rFonts w:hint="eastAsia" w:ascii="Times New Roman" w:hAnsi="Times New Roman" w:cs="Times New Roman"/>
          <w:b w:val="0"/>
          <w:bCs w:val="0"/>
          <w:szCs w:val="30"/>
          <w:highlight w:val="none"/>
          <w:lang w:val="en-US" w:eastAsia="zh-CN"/>
        </w:rPr>
        <w:t>160.33</w:t>
      </w:r>
      <w:r>
        <w:rPr>
          <w:rFonts w:hint="eastAsia" w:ascii="Times New Roman" w:hAnsi="Times New Roman" w:cs="Times New Roman"/>
          <w:szCs w:val="30"/>
          <w:highlight w:val="none"/>
          <w:lang w:val="en-US" w:eastAsia="zh-CN"/>
        </w:rPr>
        <w:t xml:space="preserve">公顷、耕地保有量 </w:t>
      </w:r>
      <w:r>
        <w:rPr>
          <w:rFonts w:hint="eastAsia" w:ascii="Times New Roman" w:hAnsi="Times New Roman" w:cs="Times New Roman"/>
          <w:b w:val="0"/>
          <w:bCs w:val="0"/>
          <w:szCs w:val="30"/>
          <w:highlight w:val="none"/>
          <w:lang w:val="en-US" w:eastAsia="zh-CN"/>
        </w:rPr>
        <w:t>201.89</w:t>
      </w:r>
      <w:r>
        <w:rPr>
          <w:rFonts w:hint="eastAsia" w:ascii="Times New Roman" w:hAnsi="Times New Roman" w:cs="Times New Roman"/>
          <w:szCs w:val="30"/>
          <w:highlight w:val="none"/>
          <w:lang w:val="en-US" w:eastAsia="zh-CN"/>
        </w:rPr>
        <w:t>公顷、城镇开发边界13.81公顷。落实上位规划重大建设项目32项。</w:t>
      </w:r>
    </w:p>
    <w:p w14:paraId="1D818B2C">
      <w:pPr>
        <w:pStyle w:val="6"/>
        <w:widowControl w:val="0"/>
        <w:numPr>
          <w:ilvl w:val="0"/>
          <w:numId w:val="21"/>
        </w:numPr>
        <w:spacing w:before="100" w:beforeAutospacing="1" w:line="240" w:lineRule="auto"/>
        <w:ind w:firstLine="602"/>
        <w:rPr>
          <w:rFonts w:hint="eastAsia" w:ascii="仿宋_GB2312" w:hAnsi="仿宋" w:cs="Times New Roman"/>
          <w:b/>
          <w:szCs w:val="30"/>
          <w:lang w:val="en-US" w:eastAsia="zh-CN"/>
        </w:rPr>
      </w:pPr>
      <w:r>
        <w:rPr>
          <w:rFonts w:hint="eastAsia" w:ascii="仿宋_GB2312" w:hAnsi="仿宋" w:cs="Times New Roman"/>
          <w:b/>
          <w:szCs w:val="30"/>
          <w:lang w:val="en-US" w:eastAsia="zh-CN"/>
        </w:rPr>
        <w:t>村庄规划的指引</w:t>
      </w:r>
    </w:p>
    <w:p w14:paraId="08CC2A5C">
      <w:pPr>
        <w:ind w:firstLine="600"/>
        <w:outlineLvl w:val="4"/>
        <w:rPr>
          <w:rFonts w:hint="default"/>
          <w:lang w:val="en-US" w:eastAsia="zh-CN"/>
        </w:rPr>
      </w:pPr>
      <w:r>
        <w:rPr>
          <w:rFonts w:hint="eastAsia" w:ascii="Times New Roman" w:hAnsi="Times New Roman" w:cs="Times New Roman"/>
          <w:szCs w:val="30"/>
          <w:highlight w:val="none"/>
          <w:lang w:val="en-US" w:eastAsia="zh-CN"/>
        </w:rPr>
        <w:t>（1）红花铺村</w:t>
      </w:r>
    </w:p>
    <w:p w14:paraId="720CFFB0">
      <w:pPr>
        <w:keepNext w:val="0"/>
        <w:keepLines w:val="0"/>
        <w:widowControl/>
        <w:suppressLineNumbers w:val="0"/>
        <w:jc w:val="both"/>
        <w:rPr>
          <w:rFonts w:hint="eastAsia"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村庄类型与目标定位：政府驻地村，城郊融合类村庄。以食用菌、花椒、</w:t>
      </w:r>
      <w:r>
        <w:rPr>
          <w:rFonts w:hint="eastAsia" w:ascii="Times New Roman" w:hAnsi="Times New Roman" w:cs="Times New Roman"/>
          <w:color w:val="000000"/>
          <w:kern w:val="0"/>
          <w:szCs w:val="30"/>
          <w:lang w:val="en-US" w:eastAsia="zh-CN" w:bidi="ar"/>
        </w:rPr>
        <w:t>中蜂</w:t>
      </w:r>
      <w:r>
        <w:rPr>
          <w:rFonts w:hint="eastAsia" w:ascii="Times New Roman" w:hAnsi="Times New Roman" w:cs="Times New Roman"/>
          <w:szCs w:val="30"/>
          <w:highlight w:val="none"/>
          <w:lang w:val="en-US" w:eastAsia="zh-CN"/>
        </w:rPr>
        <w:t>养殖产销链为特色，集体经济种植养殖为主的</w:t>
      </w:r>
      <w:r>
        <w:rPr>
          <w:rFonts w:ascii="仿宋_GB2312" w:hAnsi="宋体" w:eastAsia="仿宋_GB2312" w:cs="仿宋_GB2312"/>
          <w:color w:val="000000"/>
          <w:kern w:val="0"/>
          <w:sz w:val="30"/>
          <w:szCs w:val="30"/>
          <w:lang w:val="en-US" w:eastAsia="zh-CN" w:bidi="ar"/>
        </w:rPr>
        <w:t>综合商贸服务型村庄</w:t>
      </w:r>
      <w:r>
        <w:rPr>
          <w:rFonts w:hint="eastAsia" w:ascii="Times New Roman" w:hAnsi="Times New Roman" w:cs="Times New Roman"/>
          <w:szCs w:val="30"/>
          <w:highlight w:val="none"/>
          <w:lang w:val="en-US" w:eastAsia="zh-CN"/>
        </w:rPr>
        <w:t>。</w:t>
      </w:r>
    </w:p>
    <w:p w14:paraId="6ED19EFC">
      <w:pPr>
        <w:ind w:firstLine="600"/>
        <w:jc w:val="left"/>
        <w:rPr>
          <w:rFonts w:ascii="Times New Roman" w:hAnsi="Times New Roman" w:cs="Times New Roman"/>
          <w:color w:val="000000"/>
          <w:kern w:val="0"/>
          <w:szCs w:val="30"/>
          <w:lang w:bidi="ar"/>
        </w:rPr>
      </w:pPr>
      <w:r>
        <w:rPr>
          <w:rFonts w:ascii="Times New Roman" w:hAnsi="Times New Roman" w:cs="Times New Roman"/>
          <w:color w:val="000000"/>
          <w:kern w:val="0"/>
          <w:szCs w:val="30"/>
          <w:lang w:bidi="ar"/>
        </w:rPr>
        <w:t>指标管控：到2035年，</w:t>
      </w:r>
      <w:r>
        <w:rPr>
          <w:rFonts w:hint="eastAsia" w:ascii="Times New Roman" w:hAnsi="Times New Roman" w:cs="Times New Roman"/>
          <w:szCs w:val="30"/>
          <w:highlight w:val="none"/>
          <w:lang w:val="en-US" w:eastAsia="zh-CN"/>
        </w:rPr>
        <w:t>红花铺</w:t>
      </w:r>
      <w:r>
        <w:rPr>
          <w:rFonts w:ascii="Times New Roman" w:hAnsi="Times New Roman" w:cs="Times New Roman"/>
          <w:color w:val="000000"/>
          <w:kern w:val="0"/>
          <w:szCs w:val="30"/>
          <w:lang w:bidi="ar"/>
        </w:rPr>
        <w:t>村</w:t>
      </w:r>
      <w:r>
        <w:rPr>
          <w:rFonts w:hint="eastAsia" w:ascii="Times New Roman" w:hAnsi="Times New Roman" w:cs="Times New Roman"/>
          <w:color w:val="000000"/>
          <w:kern w:val="0"/>
          <w:szCs w:val="30"/>
          <w:lang w:val="en-US" w:eastAsia="zh-CN" w:bidi="ar"/>
        </w:rPr>
        <w:t>落实</w:t>
      </w:r>
      <w:r>
        <w:rPr>
          <w:rFonts w:ascii="Times New Roman" w:hAnsi="Times New Roman" w:cs="Times New Roman"/>
          <w:color w:val="000000"/>
          <w:kern w:val="0"/>
          <w:szCs w:val="30"/>
          <w:lang w:bidi="ar"/>
        </w:rPr>
        <w:t>城镇开发边界面积为</w:t>
      </w:r>
      <w:r>
        <w:rPr>
          <w:rFonts w:hint="eastAsia" w:ascii="Times New Roman" w:hAnsi="Times New Roman" w:cs="Times New Roman"/>
          <w:color w:val="000000"/>
          <w:kern w:val="0"/>
          <w:szCs w:val="30"/>
          <w:lang w:val="en-US" w:eastAsia="zh-CN" w:bidi="ar"/>
        </w:rPr>
        <w:t>13.24</w:t>
      </w:r>
      <w:r>
        <w:rPr>
          <w:rFonts w:ascii="Times New Roman" w:hAnsi="Times New Roman" w:cs="Times New Roman"/>
          <w:color w:val="000000"/>
          <w:kern w:val="0"/>
          <w:szCs w:val="30"/>
          <w:lang w:bidi="ar"/>
        </w:rPr>
        <w:t>公顷，耕地保有量为</w:t>
      </w:r>
      <w:r>
        <w:rPr>
          <w:rFonts w:hint="eastAsia" w:ascii="Times New Roman" w:hAnsi="Times New Roman" w:cs="Times New Roman"/>
          <w:color w:val="000000"/>
          <w:kern w:val="0"/>
          <w:szCs w:val="30"/>
          <w:lang w:val="en-US" w:eastAsia="zh-CN" w:bidi="ar"/>
        </w:rPr>
        <w:t>38.13</w:t>
      </w:r>
      <w:r>
        <w:rPr>
          <w:rFonts w:ascii="Times New Roman" w:hAnsi="Times New Roman" w:cs="Times New Roman"/>
          <w:color w:val="000000"/>
          <w:kern w:val="0"/>
          <w:szCs w:val="30"/>
          <w:lang w:bidi="ar"/>
        </w:rPr>
        <w:t>公顷，永久基本农田保护面积为</w:t>
      </w:r>
      <w:r>
        <w:rPr>
          <w:rFonts w:hint="eastAsia" w:ascii="Times New Roman" w:hAnsi="Times New Roman" w:cs="Times New Roman"/>
          <w:color w:val="000000"/>
          <w:kern w:val="0"/>
          <w:szCs w:val="30"/>
          <w:lang w:val="en-US" w:eastAsia="zh-CN" w:bidi="ar"/>
        </w:rPr>
        <w:t>27.82</w:t>
      </w:r>
      <w:r>
        <w:rPr>
          <w:rFonts w:ascii="Times New Roman" w:hAnsi="Times New Roman" w:cs="Times New Roman"/>
          <w:color w:val="000000"/>
          <w:kern w:val="0"/>
          <w:szCs w:val="30"/>
          <w:lang w:bidi="ar"/>
        </w:rPr>
        <w:t>公顷，生态保护红线面积为</w:t>
      </w:r>
      <w:r>
        <w:rPr>
          <w:rFonts w:hint="eastAsia" w:ascii="Times New Roman" w:hAnsi="Times New Roman" w:cs="Times New Roman"/>
          <w:color w:val="000000"/>
          <w:kern w:val="0"/>
          <w:szCs w:val="30"/>
          <w:lang w:val="en-US" w:eastAsia="zh-CN" w:bidi="ar"/>
        </w:rPr>
        <w:t>3399.51</w:t>
      </w:r>
      <w:r>
        <w:rPr>
          <w:rFonts w:ascii="Times New Roman" w:hAnsi="Times New Roman" w:cs="Times New Roman"/>
          <w:color w:val="000000"/>
          <w:kern w:val="0"/>
          <w:szCs w:val="30"/>
          <w:lang w:bidi="ar"/>
        </w:rPr>
        <w:t>公顷，村庄建设边界面积为</w:t>
      </w:r>
      <w:r>
        <w:rPr>
          <w:rFonts w:hint="eastAsia" w:ascii="Times New Roman" w:hAnsi="Times New Roman" w:cs="Times New Roman"/>
          <w:color w:val="000000"/>
          <w:kern w:val="0"/>
          <w:szCs w:val="30"/>
          <w:lang w:val="en-US" w:eastAsia="zh-CN" w:bidi="ar"/>
        </w:rPr>
        <w:t>13.45</w:t>
      </w:r>
      <w:r>
        <w:rPr>
          <w:rFonts w:ascii="Times New Roman" w:hAnsi="Times New Roman" w:cs="Times New Roman"/>
          <w:color w:val="000000"/>
          <w:kern w:val="0"/>
          <w:szCs w:val="30"/>
          <w:lang w:bidi="ar"/>
        </w:rPr>
        <w:t>公顷。</w:t>
      </w:r>
    </w:p>
    <w:p w14:paraId="304A452F">
      <w:pPr>
        <w:ind w:firstLine="600"/>
        <w:jc w:val="left"/>
        <w:rPr>
          <w:rFonts w:hint="eastAsia" w:ascii="Times New Roman" w:hAnsi="Times New Roman" w:cs="Times New Roman"/>
          <w:color w:val="000000"/>
          <w:kern w:val="0"/>
          <w:szCs w:val="30"/>
          <w:lang w:val="en-US" w:eastAsia="zh-CN" w:bidi="ar"/>
        </w:rPr>
      </w:pPr>
      <w:r>
        <w:rPr>
          <w:rFonts w:hint="eastAsia" w:ascii="Times New Roman" w:hAnsi="Times New Roman" w:cs="Times New Roman"/>
          <w:color w:val="000000"/>
          <w:kern w:val="0"/>
          <w:szCs w:val="30"/>
          <w:lang w:val="en-US" w:eastAsia="zh-CN" w:bidi="ar"/>
        </w:rPr>
        <w:t>村庄发展引导：推行“集体经济联合社+农户”的产业发展模式，优化中蜂、食用菌、中药材等特色产业；结合镇区职能优化用地布局，提升村庄基础设施条件、人居环境品质及综合公共服务水平。</w:t>
      </w:r>
    </w:p>
    <w:p w14:paraId="5A337687">
      <w:pPr>
        <w:ind w:firstLine="600"/>
        <w:outlineLvl w:val="4"/>
        <w:rPr>
          <w:rFonts w:hint="default"/>
          <w:lang w:val="en-US" w:eastAsia="zh-CN"/>
        </w:rPr>
      </w:pPr>
      <w:r>
        <w:rPr>
          <w:rFonts w:hint="eastAsia" w:ascii="Times New Roman" w:hAnsi="Times New Roman" w:cs="Times New Roman"/>
          <w:szCs w:val="30"/>
          <w:highlight w:val="none"/>
          <w:lang w:val="en-US" w:eastAsia="zh-CN"/>
        </w:rPr>
        <w:t>（2）永生村</w:t>
      </w:r>
    </w:p>
    <w:p w14:paraId="414272E1">
      <w:pPr>
        <w:keepNext w:val="0"/>
        <w:keepLines w:val="0"/>
        <w:widowControl/>
        <w:suppressLineNumbers w:val="0"/>
        <w:jc w:val="both"/>
        <w:rPr>
          <w:rFonts w:hint="eastAsia"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村庄类型与目标定位：中心村，特色保护类村庄。以福寿康养休闲养生文化为特色，以乡村田园体验旅游为核心的康养度假示范</w:t>
      </w:r>
      <w:r>
        <w:rPr>
          <w:rFonts w:ascii="仿宋_GB2312" w:hAnsi="宋体" w:eastAsia="仿宋_GB2312" w:cs="仿宋_GB2312"/>
          <w:color w:val="000000"/>
          <w:kern w:val="0"/>
          <w:sz w:val="30"/>
          <w:szCs w:val="30"/>
          <w:lang w:val="en-US" w:eastAsia="zh-CN" w:bidi="ar"/>
        </w:rPr>
        <w:t>村庄</w:t>
      </w:r>
      <w:r>
        <w:rPr>
          <w:rFonts w:hint="eastAsia" w:ascii="Times New Roman" w:hAnsi="Times New Roman" w:cs="Times New Roman"/>
          <w:szCs w:val="30"/>
          <w:highlight w:val="none"/>
          <w:lang w:val="en-US" w:eastAsia="zh-CN"/>
        </w:rPr>
        <w:t>。</w:t>
      </w:r>
    </w:p>
    <w:p w14:paraId="4EE32686">
      <w:pPr>
        <w:keepNext w:val="0"/>
        <w:keepLines w:val="0"/>
        <w:widowControl/>
        <w:suppressLineNumbers w:val="0"/>
        <w:jc w:val="left"/>
        <w:rPr>
          <w:rFonts w:ascii="Times New Roman" w:hAnsi="Times New Roman" w:cs="Times New Roman"/>
          <w:color w:val="000000"/>
          <w:kern w:val="0"/>
          <w:szCs w:val="30"/>
          <w:lang w:bidi="ar"/>
        </w:rPr>
      </w:pPr>
      <w:r>
        <w:rPr>
          <w:rFonts w:ascii="Times New Roman" w:hAnsi="Times New Roman" w:cs="Times New Roman"/>
          <w:color w:val="000000"/>
          <w:kern w:val="0"/>
          <w:szCs w:val="30"/>
          <w:lang w:bidi="ar"/>
        </w:rPr>
        <w:t>指标管控：到2035年，</w:t>
      </w:r>
      <w:r>
        <w:rPr>
          <w:rFonts w:hint="eastAsia" w:ascii="Times New Roman" w:hAnsi="Times New Roman" w:cs="Times New Roman"/>
          <w:szCs w:val="30"/>
          <w:highlight w:val="none"/>
          <w:lang w:val="en-US" w:eastAsia="zh-CN"/>
        </w:rPr>
        <w:t>永生</w:t>
      </w:r>
      <w:r>
        <w:rPr>
          <w:rFonts w:ascii="Times New Roman" w:hAnsi="Times New Roman" w:cs="Times New Roman"/>
          <w:color w:val="000000"/>
          <w:kern w:val="0"/>
          <w:szCs w:val="30"/>
          <w:lang w:bidi="ar"/>
        </w:rPr>
        <w:t>村</w:t>
      </w:r>
      <w:r>
        <w:rPr>
          <w:rFonts w:hint="eastAsia" w:ascii="Times New Roman" w:hAnsi="Times New Roman" w:cs="Times New Roman"/>
          <w:color w:val="000000"/>
          <w:kern w:val="0"/>
          <w:szCs w:val="30"/>
          <w:lang w:val="en-US" w:eastAsia="zh-CN" w:bidi="ar"/>
        </w:rPr>
        <w:t>落实</w:t>
      </w:r>
      <w:r>
        <w:rPr>
          <w:rFonts w:ascii="Times New Roman" w:hAnsi="Times New Roman" w:cs="Times New Roman"/>
          <w:color w:val="000000"/>
          <w:kern w:val="0"/>
          <w:szCs w:val="30"/>
          <w:lang w:bidi="ar"/>
        </w:rPr>
        <w:t>耕地保有量为</w:t>
      </w:r>
      <w:r>
        <w:rPr>
          <w:rFonts w:hint="eastAsia" w:ascii="Times New Roman" w:hAnsi="Times New Roman" w:cs="Times New Roman"/>
          <w:color w:val="000000"/>
          <w:kern w:val="0"/>
          <w:szCs w:val="30"/>
          <w:lang w:val="en-US" w:eastAsia="zh-CN" w:bidi="ar"/>
        </w:rPr>
        <w:t>46.37</w:t>
      </w:r>
      <w:r>
        <w:rPr>
          <w:rFonts w:ascii="Times New Roman" w:hAnsi="Times New Roman" w:cs="Times New Roman"/>
          <w:color w:val="000000"/>
          <w:kern w:val="0"/>
          <w:szCs w:val="30"/>
          <w:lang w:bidi="ar"/>
        </w:rPr>
        <w:t>公顷，永久基本农田保护面积为</w:t>
      </w:r>
      <w:r>
        <w:rPr>
          <w:rFonts w:hint="eastAsia" w:ascii="Times New Roman" w:hAnsi="Times New Roman" w:cs="Times New Roman"/>
          <w:color w:val="000000"/>
          <w:kern w:val="0"/>
          <w:szCs w:val="30"/>
          <w:lang w:val="en-US" w:eastAsia="zh-CN" w:bidi="ar"/>
        </w:rPr>
        <w:t>44.68</w:t>
      </w:r>
      <w:r>
        <w:rPr>
          <w:rFonts w:ascii="Times New Roman" w:hAnsi="Times New Roman" w:cs="Times New Roman"/>
          <w:color w:val="000000"/>
          <w:kern w:val="0"/>
          <w:szCs w:val="30"/>
          <w:lang w:bidi="ar"/>
        </w:rPr>
        <w:t>公顷，生态保护红线面积为</w:t>
      </w:r>
      <w:r>
        <w:rPr>
          <w:rFonts w:hint="eastAsia" w:ascii="Times New Roman" w:hAnsi="Times New Roman" w:cs="Times New Roman"/>
          <w:color w:val="000000"/>
          <w:kern w:val="0"/>
          <w:szCs w:val="30"/>
          <w:lang w:val="en-US" w:eastAsia="zh-CN" w:bidi="ar"/>
        </w:rPr>
        <w:t>1464.68</w:t>
      </w:r>
      <w:r>
        <w:rPr>
          <w:rFonts w:ascii="Times New Roman" w:hAnsi="Times New Roman" w:cs="Times New Roman"/>
          <w:color w:val="000000"/>
          <w:kern w:val="0"/>
          <w:szCs w:val="30"/>
          <w:lang w:bidi="ar"/>
        </w:rPr>
        <w:t>公顷，村庄建设边界面积为</w:t>
      </w:r>
      <w:r>
        <w:rPr>
          <w:rFonts w:hint="eastAsia" w:ascii="Times New Roman" w:hAnsi="Times New Roman" w:cs="Times New Roman"/>
          <w:color w:val="000000"/>
          <w:kern w:val="0"/>
          <w:szCs w:val="30"/>
          <w:lang w:val="en-US" w:eastAsia="zh-CN" w:bidi="ar"/>
        </w:rPr>
        <w:t>14.48</w:t>
      </w:r>
      <w:r>
        <w:rPr>
          <w:rFonts w:ascii="Times New Roman" w:hAnsi="Times New Roman" w:cs="Times New Roman"/>
          <w:color w:val="000000"/>
          <w:kern w:val="0"/>
          <w:szCs w:val="30"/>
          <w:lang w:bidi="ar"/>
        </w:rPr>
        <w:t>公顷。</w:t>
      </w:r>
    </w:p>
    <w:p w14:paraId="3BFFF483">
      <w:pPr>
        <w:ind w:firstLine="600"/>
        <w:rPr>
          <w:rFonts w:hint="eastAsia" w:ascii="Times New Roman" w:hAnsi="Times New Roman" w:cs="Times New Roman"/>
          <w:color w:val="000000"/>
          <w:kern w:val="0"/>
          <w:szCs w:val="30"/>
          <w:lang w:val="en-US" w:eastAsia="zh-CN" w:bidi="ar"/>
        </w:rPr>
      </w:pPr>
      <w:r>
        <w:rPr>
          <w:rFonts w:hint="eastAsia" w:ascii="Times New Roman" w:hAnsi="Times New Roman" w:cs="Times New Roman"/>
          <w:color w:val="000000"/>
          <w:kern w:val="0"/>
          <w:szCs w:val="30"/>
          <w:lang w:val="en-US" w:eastAsia="zh-CN" w:bidi="ar"/>
        </w:rPr>
        <w:t>村庄发展引导：优化提升传统种植</w:t>
      </w:r>
      <w:bookmarkStart w:id="154" w:name="_GoBack"/>
      <w:bookmarkEnd w:id="154"/>
      <w:r>
        <w:rPr>
          <w:rFonts w:hint="eastAsia" w:ascii="Times New Roman" w:hAnsi="Times New Roman" w:cs="Times New Roman"/>
          <w:color w:val="000000"/>
          <w:kern w:val="0"/>
          <w:szCs w:val="30"/>
          <w:lang w:val="en-US" w:eastAsia="zh-CN" w:bidi="ar"/>
        </w:rPr>
        <w:t>养殖业，大力发展乡村旅游休闲产业，支持新兴工业发展；完善村庄基础设施条件，增加文体、商业等公服设施，提升村庄整体景观品质。</w:t>
      </w:r>
    </w:p>
    <w:p w14:paraId="4B4B480A">
      <w:pPr>
        <w:ind w:firstLine="600"/>
        <w:outlineLvl w:val="4"/>
        <w:rPr>
          <w:rFonts w:hint="default"/>
          <w:lang w:val="en-US" w:eastAsia="zh-CN"/>
        </w:rPr>
      </w:pPr>
      <w:r>
        <w:rPr>
          <w:rFonts w:hint="eastAsia" w:ascii="Times New Roman" w:hAnsi="Times New Roman" w:cs="Times New Roman"/>
          <w:szCs w:val="30"/>
          <w:highlight w:val="none"/>
          <w:lang w:val="en-US" w:eastAsia="zh-CN"/>
        </w:rPr>
        <w:t>（3）白家店村</w:t>
      </w:r>
    </w:p>
    <w:p w14:paraId="6E1DFFD0">
      <w:pPr>
        <w:keepNext w:val="0"/>
        <w:keepLines w:val="0"/>
        <w:widowControl/>
        <w:suppressLineNumbers w:val="0"/>
        <w:jc w:val="both"/>
        <w:rPr>
          <w:rFonts w:hint="eastAsia"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村庄类型与目标定位：一般村，集聚提升类村庄。以五味子、苹果种植及中蜂、林麝养殖为主的农业生产</w:t>
      </w:r>
      <w:r>
        <w:rPr>
          <w:rFonts w:ascii="仿宋_GB2312" w:hAnsi="宋体" w:eastAsia="仿宋_GB2312" w:cs="仿宋_GB2312"/>
          <w:color w:val="000000"/>
          <w:kern w:val="0"/>
          <w:sz w:val="30"/>
          <w:szCs w:val="30"/>
          <w:lang w:val="en-US" w:eastAsia="zh-CN" w:bidi="ar"/>
        </w:rPr>
        <w:t>村庄</w:t>
      </w:r>
      <w:r>
        <w:rPr>
          <w:rFonts w:hint="eastAsia" w:ascii="Times New Roman" w:hAnsi="Times New Roman" w:cs="Times New Roman"/>
          <w:szCs w:val="30"/>
          <w:highlight w:val="none"/>
          <w:lang w:val="en-US" w:eastAsia="zh-CN"/>
        </w:rPr>
        <w:t>。</w:t>
      </w:r>
    </w:p>
    <w:p w14:paraId="0815F64E">
      <w:pPr>
        <w:ind w:firstLine="600"/>
        <w:jc w:val="left"/>
        <w:rPr>
          <w:rFonts w:ascii="Times New Roman" w:hAnsi="Times New Roman" w:cs="Times New Roman"/>
          <w:color w:val="000000"/>
          <w:kern w:val="0"/>
          <w:szCs w:val="30"/>
          <w:lang w:bidi="ar"/>
        </w:rPr>
      </w:pPr>
      <w:r>
        <w:rPr>
          <w:rFonts w:ascii="Times New Roman" w:hAnsi="Times New Roman" w:cs="Times New Roman"/>
          <w:color w:val="000000"/>
          <w:kern w:val="0"/>
          <w:szCs w:val="30"/>
          <w:lang w:bidi="ar"/>
        </w:rPr>
        <w:t>指标管控：到2035年，</w:t>
      </w:r>
      <w:r>
        <w:rPr>
          <w:rFonts w:hint="eastAsia" w:ascii="Times New Roman" w:hAnsi="Times New Roman" w:cs="Times New Roman"/>
          <w:szCs w:val="30"/>
          <w:highlight w:val="none"/>
          <w:lang w:val="en-US" w:eastAsia="zh-CN"/>
        </w:rPr>
        <w:t>白家店</w:t>
      </w:r>
      <w:r>
        <w:rPr>
          <w:rFonts w:ascii="Times New Roman" w:hAnsi="Times New Roman" w:cs="Times New Roman"/>
          <w:color w:val="000000"/>
          <w:kern w:val="0"/>
          <w:szCs w:val="30"/>
          <w:lang w:bidi="ar"/>
        </w:rPr>
        <w:t>村</w:t>
      </w:r>
      <w:r>
        <w:rPr>
          <w:rFonts w:hint="eastAsia" w:ascii="Times New Roman" w:hAnsi="Times New Roman" w:cs="Times New Roman"/>
          <w:color w:val="000000"/>
          <w:kern w:val="0"/>
          <w:szCs w:val="30"/>
          <w:lang w:val="en-US" w:eastAsia="zh-CN" w:bidi="ar"/>
        </w:rPr>
        <w:t>落实</w:t>
      </w:r>
      <w:r>
        <w:rPr>
          <w:rFonts w:ascii="Times New Roman" w:hAnsi="Times New Roman" w:cs="Times New Roman"/>
          <w:color w:val="000000"/>
          <w:kern w:val="0"/>
          <w:szCs w:val="30"/>
          <w:lang w:bidi="ar"/>
        </w:rPr>
        <w:t>城镇开发边界面积为</w:t>
      </w:r>
      <w:r>
        <w:rPr>
          <w:rFonts w:hint="eastAsia" w:ascii="Times New Roman" w:hAnsi="Times New Roman" w:cs="Times New Roman"/>
          <w:color w:val="000000"/>
          <w:kern w:val="0"/>
          <w:szCs w:val="30"/>
          <w:lang w:val="en-US" w:eastAsia="zh-CN" w:bidi="ar"/>
        </w:rPr>
        <w:t>0.57</w:t>
      </w:r>
      <w:r>
        <w:rPr>
          <w:rFonts w:ascii="Times New Roman" w:hAnsi="Times New Roman" w:cs="Times New Roman"/>
          <w:color w:val="000000"/>
          <w:kern w:val="0"/>
          <w:szCs w:val="30"/>
          <w:lang w:bidi="ar"/>
        </w:rPr>
        <w:t>公顷，耕地保有量为</w:t>
      </w:r>
      <w:r>
        <w:rPr>
          <w:rFonts w:hint="eastAsia" w:ascii="Times New Roman" w:hAnsi="Times New Roman" w:cs="Times New Roman"/>
          <w:color w:val="000000"/>
          <w:kern w:val="0"/>
          <w:szCs w:val="30"/>
          <w:lang w:val="en-US" w:eastAsia="zh-CN" w:bidi="ar"/>
        </w:rPr>
        <w:t>29.26</w:t>
      </w:r>
      <w:r>
        <w:rPr>
          <w:rFonts w:ascii="Times New Roman" w:hAnsi="Times New Roman" w:cs="Times New Roman"/>
          <w:color w:val="000000"/>
          <w:kern w:val="0"/>
          <w:szCs w:val="30"/>
          <w:lang w:bidi="ar"/>
        </w:rPr>
        <w:t>公顷，永久基本农田保护面积为</w:t>
      </w:r>
      <w:r>
        <w:rPr>
          <w:rFonts w:hint="eastAsia" w:ascii="Times New Roman" w:hAnsi="Times New Roman" w:cs="Times New Roman"/>
          <w:color w:val="000000"/>
          <w:kern w:val="0"/>
          <w:szCs w:val="30"/>
          <w:lang w:val="en-US" w:eastAsia="zh-CN" w:bidi="ar"/>
        </w:rPr>
        <w:t>22.67</w:t>
      </w:r>
      <w:r>
        <w:rPr>
          <w:rFonts w:ascii="Times New Roman" w:hAnsi="Times New Roman" w:cs="Times New Roman"/>
          <w:color w:val="000000"/>
          <w:kern w:val="0"/>
          <w:szCs w:val="30"/>
          <w:lang w:bidi="ar"/>
        </w:rPr>
        <w:t>公顷，生态保护红线面积为</w:t>
      </w:r>
      <w:r>
        <w:rPr>
          <w:rFonts w:hint="eastAsia" w:ascii="Times New Roman" w:hAnsi="Times New Roman" w:cs="Times New Roman"/>
          <w:color w:val="000000"/>
          <w:kern w:val="0"/>
          <w:szCs w:val="30"/>
          <w:lang w:val="en-US" w:eastAsia="zh-CN" w:bidi="ar"/>
        </w:rPr>
        <w:t>1873.33</w:t>
      </w:r>
      <w:r>
        <w:rPr>
          <w:rFonts w:ascii="Times New Roman" w:hAnsi="Times New Roman" w:cs="Times New Roman"/>
          <w:color w:val="000000"/>
          <w:kern w:val="0"/>
          <w:szCs w:val="30"/>
          <w:lang w:bidi="ar"/>
        </w:rPr>
        <w:t>公顷，村庄建设边界面积为</w:t>
      </w:r>
      <w:r>
        <w:rPr>
          <w:rFonts w:hint="eastAsia" w:ascii="Times New Roman" w:hAnsi="Times New Roman" w:cs="Times New Roman"/>
          <w:color w:val="000000"/>
          <w:kern w:val="0"/>
          <w:szCs w:val="30"/>
          <w:lang w:val="en-US" w:eastAsia="zh-CN" w:bidi="ar"/>
        </w:rPr>
        <w:t>12.76</w:t>
      </w:r>
      <w:r>
        <w:rPr>
          <w:rFonts w:ascii="Times New Roman" w:hAnsi="Times New Roman" w:cs="Times New Roman"/>
          <w:color w:val="000000"/>
          <w:kern w:val="0"/>
          <w:szCs w:val="30"/>
          <w:lang w:bidi="ar"/>
        </w:rPr>
        <w:t>公顷。</w:t>
      </w:r>
    </w:p>
    <w:p w14:paraId="3CFC182F">
      <w:pPr>
        <w:ind w:firstLine="600"/>
        <w:jc w:val="left"/>
        <w:rPr>
          <w:rFonts w:hint="eastAsia" w:ascii="Times New Roman" w:hAnsi="Times New Roman" w:cs="Times New Roman"/>
          <w:color w:val="000000"/>
          <w:kern w:val="0"/>
          <w:szCs w:val="30"/>
          <w:lang w:val="en-US" w:eastAsia="zh-CN" w:bidi="ar"/>
        </w:rPr>
      </w:pPr>
      <w:r>
        <w:rPr>
          <w:rFonts w:hint="eastAsia" w:ascii="Times New Roman" w:hAnsi="Times New Roman" w:cs="Times New Roman"/>
          <w:color w:val="000000"/>
          <w:kern w:val="0"/>
          <w:szCs w:val="30"/>
          <w:lang w:val="en-US" w:eastAsia="zh-CN" w:bidi="ar"/>
        </w:rPr>
        <w:t>村庄发展引导：推进苹果、花椒等种植业发展，加大产业配套设施建设，提升产业规模，延伸产业链条；完善村庄基础设施条件，提升人居环境品质，改善村民生活质量。</w:t>
      </w:r>
    </w:p>
    <w:p w14:paraId="52D31D1B">
      <w:pPr>
        <w:ind w:firstLine="600"/>
        <w:outlineLvl w:val="4"/>
        <w:rPr>
          <w:rFonts w:hint="default"/>
          <w:lang w:val="en-US" w:eastAsia="zh-CN"/>
        </w:rPr>
      </w:pPr>
      <w:r>
        <w:rPr>
          <w:rFonts w:hint="eastAsia" w:ascii="Times New Roman" w:hAnsi="Times New Roman" w:cs="Times New Roman"/>
          <w:szCs w:val="30"/>
          <w:highlight w:val="none"/>
          <w:lang w:val="en-US" w:eastAsia="zh-CN"/>
        </w:rPr>
        <w:t>（4）草凉驿村</w:t>
      </w:r>
    </w:p>
    <w:p w14:paraId="777387DE">
      <w:pPr>
        <w:keepNext w:val="0"/>
        <w:keepLines w:val="0"/>
        <w:widowControl/>
        <w:suppressLineNumbers w:val="0"/>
        <w:jc w:val="both"/>
        <w:rPr>
          <w:rFonts w:hint="eastAsia" w:ascii="Times New Roman" w:hAnsi="Times New Roman" w:cs="Times New Roman"/>
          <w:szCs w:val="30"/>
          <w:highlight w:val="none"/>
          <w:lang w:val="en-US" w:eastAsia="zh-CN"/>
        </w:rPr>
      </w:pPr>
      <w:r>
        <w:rPr>
          <w:rFonts w:hint="eastAsia" w:ascii="Times New Roman" w:hAnsi="Times New Roman" w:cs="Times New Roman"/>
          <w:szCs w:val="30"/>
          <w:highlight w:val="none"/>
          <w:lang w:val="en-US" w:eastAsia="zh-CN"/>
        </w:rPr>
        <w:t>村庄类型与目标定位：一般村，集聚提升类村庄。以林麝养殖产业为核心，以中药材种植为特色的综合农业</w:t>
      </w:r>
      <w:r>
        <w:rPr>
          <w:rFonts w:ascii="仿宋_GB2312" w:hAnsi="宋体" w:eastAsia="仿宋_GB2312" w:cs="仿宋_GB2312"/>
          <w:color w:val="000000"/>
          <w:kern w:val="0"/>
          <w:sz w:val="30"/>
          <w:szCs w:val="30"/>
          <w:lang w:val="en-US" w:eastAsia="zh-CN" w:bidi="ar"/>
        </w:rPr>
        <w:t>村庄</w:t>
      </w:r>
      <w:r>
        <w:rPr>
          <w:rFonts w:hint="eastAsia" w:ascii="Times New Roman" w:hAnsi="Times New Roman" w:cs="Times New Roman"/>
          <w:szCs w:val="30"/>
          <w:highlight w:val="none"/>
          <w:lang w:val="en-US" w:eastAsia="zh-CN"/>
        </w:rPr>
        <w:t>。</w:t>
      </w:r>
    </w:p>
    <w:p w14:paraId="67BFA429">
      <w:pPr>
        <w:ind w:firstLine="600"/>
        <w:jc w:val="left"/>
        <w:rPr>
          <w:rFonts w:ascii="Times New Roman" w:hAnsi="Times New Roman" w:cs="Times New Roman"/>
          <w:color w:val="000000"/>
          <w:kern w:val="0"/>
          <w:szCs w:val="30"/>
          <w:lang w:bidi="ar"/>
        </w:rPr>
      </w:pPr>
      <w:r>
        <w:rPr>
          <w:rFonts w:ascii="Times New Roman" w:hAnsi="Times New Roman" w:cs="Times New Roman"/>
          <w:color w:val="000000"/>
          <w:kern w:val="0"/>
          <w:szCs w:val="30"/>
          <w:lang w:bidi="ar"/>
        </w:rPr>
        <w:t>指标管控：到2035年，</w:t>
      </w:r>
      <w:r>
        <w:rPr>
          <w:rFonts w:hint="eastAsia" w:ascii="Times New Roman" w:hAnsi="Times New Roman" w:cs="Times New Roman"/>
          <w:szCs w:val="30"/>
          <w:highlight w:val="none"/>
          <w:lang w:val="en-US" w:eastAsia="zh-CN"/>
        </w:rPr>
        <w:t>草凉驿</w:t>
      </w:r>
      <w:r>
        <w:rPr>
          <w:rFonts w:ascii="Times New Roman" w:hAnsi="Times New Roman" w:cs="Times New Roman"/>
          <w:color w:val="000000"/>
          <w:kern w:val="0"/>
          <w:szCs w:val="30"/>
          <w:lang w:bidi="ar"/>
        </w:rPr>
        <w:t>村</w:t>
      </w:r>
      <w:r>
        <w:rPr>
          <w:rFonts w:hint="eastAsia" w:ascii="Times New Roman" w:hAnsi="Times New Roman" w:cs="Times New Roman"/>
          <w:color w:val="000000"/>
          <w:kern w:val="0"/>
          <w:szCs w:val="30"/>
          <w:lang w:val="en-US" w:eastAsia="zh-CN" w:bidi="ar"/>
        </w:rPr>
        <w:t>落实</w:t>
      </w:r>
      <w:r>
        <w:rPr>
          <w:rFonts w:ascii="Times New Roman" w:hAnsi="Times New Roman" w:cs="Times New Roman"/>
          <w:color w:val="000000"/>
          <w:kern w:val="0"/>
          <w:szCs w:val="30"/>
          <w:lang w:bidi="ar"/>
        </w:rPr>
        <w:t>耕地保有量为</w:t>
      </w:r>
      <w:r>
        <w:rPr>
          <w:rFonts w:hint="eastAsia" w:ascii="Times New Roman" w:hAnsi="Times New Roman" w:cs="Times New Roman"/>
          <w:color w:val="000000"/>
          <w:kern w:val="0"/>
          <w:szCs w:val="30"/>
          <w:lang w:val="en-US" w:eastAsia="zh-CN" w:bidi="ar"/>
        </w:rPr>
        <w:t>87.82</w:t>
      </w:r>
      <w:r>
        <w:rPr>
          <w:rFonts w:ascii="Times New Roman" w:hAnsi="Times New Roman" w:cs="Times New Roman"/>
          <w:color w:val="000000"/>
          <w:kern w:val="0"/>
          <w:szCs w:val="30"/>
          <w:lang w:bidi="ar"/>
        </w:rPr>
        <w:t>公顷，永久基本农田保护面积为</w:t>
      </w:r>
      <w:r>
        <w:rPr>
          <w:rFonts w:hint="eastAsia" w:ascii="Times New Roman" w:hAnsi="Times New Roman" w:cs="Times New Roman"/>
          <w:color w:val="000000"/>
          <w:kern w:val="0"/>
          <w:szCs w:val="30"/>
          <w:lang w:val="en-US" w:eastAsia="zh-CN" w:bidi="ar"/>
        </w:rPr>
        <w:t>66.45</w:t>
      </w:r>
      <w:r>
        <w:rPr>
          <w:rFonts w:ascii="Times New Roman" w:hAnsi="Times New Roman" w:cs="Times New Roman"/>
          <w:color w:val="000000"/>
          <w:kern w:val="0"/>
          <w:szCs w:val="30"/>
          <w:lang w:bidi="ar"/>
        </w:rPr>
        <w:t>公顷，生态保护红线面积为</w:t>
      </w:r>
      <w:r>
        <w:rPr>
          <w:rFonts w:hint="eastAsia" w:ascii="Times New Roman" w:hAnsi="Times New Roman" w:cs="Times New Roman"/>
          <w:color w:val="000000"/>
          <w:kern w:val="0"/>
          <w:szCs w:val="30"/>
          <w:lang w:val="en-US" w:eastAsia="zh-CN" w:bidi="ar"/>
        </w:rPr>
        <w:t>4313.44</w:t>
      </w:r>
      <w:r>
        <w:rPr>
          <w:rFonts w:ascii="Times New Roman" w:hAnsi="Times New Roman" w:cs="Times New Roman"/>
          <w:color w:val="000000"/>
          <w:kern w:val="0"/>
          <w:szCs w:val="30"/>
          <w:lang w:bidi="ar"/>
        </w:rPr>
        <w:t>公顷，村庄建设边界面积为</w:t>
      </w:r>
      <w:r>
        <w:rPr>
          <w:rFonts w:hint="eastAsia" w:ascii="Times New Roman" w:hAnsi="Times New Roman" w:cs="Times New Roman"/>
          <w:color w:val="000000"/>
          <w:kern w:val="0"/>
          <w:szCs w:val="30"/>
          <w:lang w:val="en-US" w:eastAsia="zh-CN" w:bidi="ar"/>
        </w:rPr>
        <w:t>20.29</w:t>
      </w:r>
      <w:r>
        <w:rPr>
          <w:rFonts w:ascii="Times New Roman" w:hAnsi="Times New Roman" w:cs="Times New Roman"/>
          <w:color w:val="000000"/>
          <w:kern w:val="0"/>
          <w:szCs w:val="30"/>
          <w:lang w:bidi="ar"/>
        </w:rPr>
        <w:t>公顷。</w:t>
      </w:r>
    </w:p>
    <w:p w14:paraId="3897D087">
      <w:pPr>
        <w:ind w:firstLine="600"/>
        <w:jc w:val="left"/>
        <w:rPr>
          <w:rFonts w:ascii="仿宋_GB2312" w:hAnsi="宋体" w:cs="仿宋_GB2312"/>
          <w:color w:val="000000"/>
          <w:kern w:val="0"/>
          <w:szCs w:val="30"/>
          <w:lang w:bidi="ar"/>
        </w:rPr>
      </w:pPr>
      <w:r>
        <w:rPr>
          <w:rFonts w:hint="eastAsia" w:ascii="Times New Roman" w:hAnsi="Times New Roman" w:cs="Times New Roman"/>
          <w:color w:val="000000"/>
          <w:kern w:val="0"/>
          <w:szCs w:val="30"/>
          <w:lang w:val="en-US" w:eastAsia="zh-CN" w:bidi="ar"/>
        </w:rPr>
        <w:t>村庄发展引导：推进林麝相关配套产业发展，加大产业配套设施建设；完善村庄基础设施条件，加强公服设施配套，提升人居环境品质，加强公路沿线、河道等重点区域的环境治理</w:t>
      </w:r>
      <w:r>
        <w:rPr>
          <w:rFonts w:hint="eastAsia" w:ascii="仿宋_GB2312" w:hAnsi="宋体" w:cs="仿宋_GB2312"/>
          <w:color w:val="000000"/>
          <w:kern w:val="0"/>
          <w:szCs w:val="30"/>
          <w:lang w:bidi="ar"/>
        </w:rPr>
        <w:t>。</w:t>
      </w:r>
    </w:p>
    <w:p w14:paraId="20DCB905">
      <w:pPr>
        <w:pStyle w:val="4"/>
        <w:spacing w:before="204" w:after="81"/>
        <w:ind w:firstLine="0" w:firstLineChars="0"/>
        <w:rPr>
          <w:rFonts w:ascii="Times New Roman" w:hAnsi="Times New Roman" w:cs="Times New Roman"/>
        </w:rPr>
      </w:pPr>
      <w:bookmarkStart w:id="116" w:name="_Toc21015"/>
      <w:bookmarkStart w:id="117" w:name="_Toc1203"/>
      <w:r>
        <w:rPr>
          <w:rFonts w:hint="eastAsia" w:ascii="Times New Roman" w:hAnsi="Times New Roman" w:cs="Times New Roman"/>
        </w:rPr>
        <w:t xml:space="preserve">第二节 </w:t>
      </w:r>
      <w:r>
        <w:rPr>
          <w:rFonts w:hint="eastAsia" w:ascii="Times New Roman" w:hAnsi="Times New Roman" w:cs="Times New Roman"/>
          <w:lang w:val="en-US" w:eastAsia="zh-CN"/>
        </w:rPr>
        <w:t xml:space="preserve"> </w:t>
      </w:r>
      <w:r>
        <w:rPr>
          <w:rFonts w:hint="eastAsia" w:ascii="Times New Roman" w:hAnsi="Times New Roman" w:cs="Times New Roman"/>
        </w:rPr>
        <w:t>近期建设</w:t>
      </w:r>
      <w:bookmarkEnd w:id="116"/>
      <w:bookmarkEnd w:id="117"/>
    </w:p>
    <w:p w14:paraId="78C285E2">
      <w:pPr>
        <w:pStyle w:val="5"/>
        <w:widowControl w:val="0"/>
        <w:numPr>
          <w:ilvl w:val="0"/>
          <w:numId w:val="22"/>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近期建设目标</w:t>
      </w:r>
    </w:p>
    <w:p w14:paraId="6DB23968">
      <w:pPr>
        <w:ind w:firstLine="600"/>
        <w:jc w:val="left"/>
        <w:rPr>
          <w:rFonts w:ascii="仿宋_GB2312" w:hAnsi="宋体" w:cs="仿宋_GB2312"/>
          <w:color w:val="000000"/>
          <w:kern w:val="0"/>
          <w:szCs w:val="30"/>
          <w:lang w:bidi="ar"/>
        </w:rPr>
      </w:pPr>
      <w:r>
        <w:rPr>
          <w:rFonts w:hint="eastAsia" w:ascii="仿宋_GB2312" w:hAnsi="宋体" w:cs="仿宋_GB2312"/>
          <w:color w:val="000000"/>
          <w:kern w:val="0"/>
          <w:szCs w:val="30"/>
          <w:lang w:bidi="ar"/>
        </w:rPr>
        <w:t>到2025年，红花铺镇耕地与永久基本农田规模得到有效落实，城乡基础设施和公共服务设施水平稳步提升，城镇功能结构和空间布局持续优化，村庄居民布局更加合理，城乡人居环境品质得到较大提升，特色城乡风貌得以塑造，空间品质显著提升，宜居生态小镇建设稳步推进。</w:t>
      </w:r>
    </w:p>
    <w:p w14:paraId="47A62A4D">
      <w:pPr>
        <w:pStyle w:val="5"/>
        <w:widowControl w:val="0"/>
        <w:numPr>
          <w:ilvl w:val="0"/>
          <w:numId w:val="22"/>
        </w:numPr>
        <w:tabs>
          <w:tab w:val="left" w:pos="420"/>
        </w:tabs>
        <w:spacing w:beforeAutospacing="1" w:line="240" w:lineRule="auto"/>
        <w:ind w:left="102" w:firstLine="602"/>
        <w:rPr>
          <w:rFonts w:ascii="仿宋_GB2312" w:hAnsi="仿宋" w:cs="Times New Roman"/>
          <w:szCs w:val="30"/>
        </w:rPr>
      </w:pPr>
      <w:r>
        <w:rPr>
          <w:rFonts w:hint="eastAsia" w:ascii="仿宋_GB2312" w:hAnsi="仿宋" w:cs="Times New Roman"/>
          <w:szCs w:val="30"/>
        </w:rPr>
        <w:t>近期主要任务</w:t>
      </w:r>
    </w:p>
    <w:p w14:paraId="5FB7026F">
      <w:pPr>
        <w:pStyle w:val="6"/>
        <w:widowControl w:val="0"/>
        <w:numPr>
          <w:ilvl w:val="0"/>
          <w:numId w:val="23"/>
        </w:numPr>
        <w:spacing w:before="100" w:beforeAutospacing="1" w:line="240" w:lineRule="auto"/>
        <w:ind w:firstLine="602"/>
        <w:rPr>
          <w:rFonts w:hint="eastAsia" w:ascii="仿宋_GB2312" w:hAnsi="仿宋" w:cs="Times New Roman"/>
          <w:b/>
          <w:szCs w:val="30"/>
          <w:lang w:val="en-US" w:eastAsia="zh-CN"/>
        </w:rPr>
      </w:pPr>
      <w:r>
        <w:rPr>
          <w:rFonts w:hint="eastAsia" w:ascii="仿宋_GB2312" w:hAnsi="仿宋" w:cs="Times New Roman"/>
          <w:b/>
          <w:szCs w:val="30"/>
          <w:lang w:val="en-US" w:eastAsia="zh-CN"/>
        </w:rPr>
        <w:t>保护粮食安全与生态安全</w:t>
      </w:r>
    </w:p>
    <w:p w14:paraId="7D4B7513">
      <w:pPr>
        <w:ind w:firstLine="600"/>
        <w:jc w:val="left"/>
        <w:rPr>
          <w:rFonts w:ascii="仿宋_GB2312" w:hAnsi="宋体" w:cs="仿宋_GB2312"/>
          <w:color w:val="000000"/>
          <w:kern w:val="0"/>
          <w:szCs w:val="30"/>
          <w:lang w:bidi="ar"/>
        </w:rPr>
      </w:pPr>
      <w:r>
        <w:rPr>
          <w:rFonts w:hint="eastAsia" w:ascii="仿宋_GB2312" w:hAnsi="宋体" w:cs="仿宋_GB2312"/>
          <w:color w:val="000000"/>
          <w:kern w:val="0"/>
          <w:szCs w:val="30"/>
          <w:lang w:bidi="ar"/>
        </w:rPr>
        <w:t>落实耕地</w:t>
      </w:r>
      <w:r>
        <w:rPr>
          <w:rFonts w:hint="eastAsia" w:ascii="仿宋_GB2312" w:hAnsi="宋体" w:cs="仿宋_GB2312"/>
          <w:color w:val="000000"/>
          <w:kern w:val="0"/>
          <w:szCs w:val="30"/>
          <w:lang w:val="en-US" w:eastAsia="zh-CN" w:bidi="ar"/>
        </w:rPr>
        <w:t>和</w:t>
      </w:r>
      <w:r>
        <w:rPr>
          <w:rFonts w:hint="eastAsia" w:ascii="仿宋_GB2312" w:hAnsi="宋体" w:cs="仿宋_GB2312"/>
          <w:color w:val="000000"/>
          <w:kern w:val="0"/>
          <w:szCs w:val="30"/>
          <w:lang w:bidi="ar"/>
        </w:rPr>
        <w:t>永久基本农田保护目标，到2025年，红花铺镇耕地保有量不低于210.89公顷，永久基本农田面积不</w:t>
      </w:r>
      <w:r>
        <w:rPr>
          <w:rFonts w:hint="eastAsia" w:ascii="仿宋_GB2312" w:hAnsi="宋体" w:cs="仿宋_GB2312"/>
          <w:color w:val="000000"/>
          <w:kern w:val="0"/>
          <w:szCs w:val="30"/>
          <w:lang w:eastAsia="zh-CN" w:bidi="ar"/>
        </w:rPr>
        <w:t>低于</w:t>
      </w:r>
      <w:r>
        <w:rPr>
          <w:rFonts w:hint="eastAsia" w:ascii="仿宋_GB2312" w:hAnsi="宋体" w:cs="仿宋_GB2312"/>
          <w:color w:val="000000"/>
          <w:kern w:val="0"/>
          <w:szCs w:val="30"/>
          <w:lang w:bidi="ar"/>
        </w:rPr>
        <w:t>160.33公顷，高质量、高标准农田持续建设，特色农业生产布局不断优化。落实生态保护红线管控要求，保持生态系统稳定，保护生态安全底线。</w:t>
      </w:r>
    </w:p>
    <w:p w14:paraId="5E783B39">
      <w:pPr>
        <w:pStyle w:val="6"/>
        <w:widowControl w:val="0"/>
        <w:numPr>
          <w:ilvl w:val="0"/>
          <w:numId w:val="23"/>
        </w:numPr>
        <w:spacing w:before="100" w:beforeAutospacing="1" w:line="240" w:lineRule="auto"/>
        <w:ind w:firstLine="602"/>
        <w:rPr>
          <w:rFonts w:hint="eastAsia" w:ascii="仿宋_GB2312" w:hAnsi="仿宋" w:cs="Times New Roman"/>
          <w:b/>
          <w:szCs w:val="30"/>
          <w:lang w:val="en-US" w:eastAsia="zh-CN"/>
        </w:rPr>
      </w:pPr>
      <w:r>
        <w:rPr>
          <w:rFonts w:hint="eastAsia" w:ascii="仿宋_GB2312" w:hAnsi="仿宋" w:cs="Times New Roman"/>
          <w:b/>
          <w:szCs w:val="30"/>
          <w:lang w:val="en-US" w:eastAsia="zh-CN"/>
        </w:rPr>
        <w:t>保障城乡基础设施及公共服务设施覆盖</w:t>
      </w:r>
    </w:p>
    <w:p w14:paraId="7E1B9589">
      <w:pPr>
        <w:ind w:firstLine="600"/>
        <w:jc w:val="left"/>
        <w:rPr>
          <w:rFonts w:ascii="仿宋_GB2312" w:hAnsi="宋体" w:cs="仿宋_GB2312"/>
          <w:color w:val="000000"/>
          <w:kern w:val="0"/>
          <w:szCs w:val="30"/>
          <w:lang w:bidi="ar"/>
        </w:rPr>
      </w:pPr>
      <w:r>
        <w:rPr>
          <w:rFonts w:hint="eastAsia" w:ascii="仿宋_GB2312" w:hAnsi="宋体" w:cs="仿宋_GB2312"/>
          <w:color w:val="000000"/>
          <w:kern w:val="0"/>
          <w:szCs w:val="30"/>
          <w:lang w:bidi="ar"/>
        </w:rPr>
        <w:t>到2025年，红花铺镇推进基础设施与公共服务设施建设，规划完成凤县红唐双公路红花铺至三岔河段改建工程，便利镇域交通；落实嘉陵江红花铺镇段防洪治理工程及河岸线生态治理项目，提升水利环保水平；推进凤县岭南福寿休闲度假区项目、红花铺镇闲境山居乡村康养基地建设项目等，提高城乡居民幸福度，促进经济发展。</w:t>
      </w:r>
    </w:p>
    <w:p w14:paraId="2648B7C9">
      <w:pPr>
        <w:pStyle w:val="6"/>
        <w:widowControl w:val="0"/>
        <w:numPr>
          <w:ilvl w:val="0"/>
          <w:numId w:val="23"/>
        </w:numPr>
        <w:spacing w:before="100" w:beforeAutospacing="1" w:line="240" w:lineRule="auto"/>
        <w:ind w:firstLine="602"/>
        <w:rPr>
          <w:rFonts w:hint="eastAsia" w:ascii="仿宋_GB2312" w:hAnsi="仿宋" w:cs="Times New Roman"/>
          <w:b/>
          <w:szCs w:val="30"/>
          <w:lang w:val="en-US" w:eastAsia="zh-CN"/>
        </w:rPr>
      </w:pPr>
      <w:r>
        <w:rPr>
          <w:rFonts w:hint="eastAsia" w:ascii="仿宋_GB2312" w:hAnsi="仿宋" w:cs="Times New Roman"/>
          <w:b/>
          <w:szCs w:val="30"/>
          <w:lang w:val="en-US" w:eastAsia="zh-CN"/>
        </w:rPr>
        <w:t>整治修复镇域国土空间与生态环境</w:t>
      </w:r>
    </w:p>
    <w:p w14:paraId="0DB1E8A7">
      <w:pPr>
        <w:ind w:firstLine="600"/>
        <w:jc w:val="left"/>
        <w:rPr>
          <w:rFonts w:hint="eastAsia" w:ascii="仿宋_GB2312" w:hAnsi="宋体" w:eastAsia="仿宋_GB2312" w:cs="仿宋_GB2312"/>
          <w:color w:val="000000"/>
          <w:kern w:val="0"/>
          <w:szCs w:val="30"/>
          <w:lang w:eastAsia="zh-CN" w:bidi="ar"/>
        </w:rPr>
      </w:pPr>
      <w:r>
        <w:rPr>
          <w:rFonts w:hint="eastAsia" w:ascii="仿宋_GB2312" w:hAnsi="宋体" w:cs="仿宋_GB2312"/>
          <w:color w:val="000000"/>
          <w:kern w:val="0"/>
          <w:szCs w:val="30"/>
          <w:lang w:bidi="ar"/>
        </w:rPr>
        <w:t>推进红花铺镇建设用地整治工程，盘活城镇建设用地，腾退整理农村废弃、闲置</w:t>
      </w:r>
      <w:r>
        <w:rPr>
          <w:rFonts w:hint="eastAsia" w:ascii="仿宋_GB2312" w:hAnsi="宋体" w:cs="仿宋_GB2312"/>
          <w:color w:val="000000"/>
          <w:kern w:val="0"/>
          <w:szCs w:val="30"/>
          <w:lang w:eastAsia="zh-CN" w:bidi="ar"/>
        </w:rPr>
        <w:t>宅基地</w:t>
      </w:r>
      <w:r>
        <w:rPr>
          <w:rFonts w:hint="eastAsia" w:ascii="仿宋_GB2312" w:hAnsi="宋体" w:cs="仿宋_GB2312"/>
          <w:color w:val="000000"/>
          <w:kern w:val="0"/>
          <w:szCs w:val="30"/>
          <w:lang w:bidi="ar"/>
        </w:rPr>
        <w:t>；推进农用地整治及宜耕资源开发，提升耕地质量</w:t>
      </w:r>
      <w:r>
        <w:rPr>
          <w:rFonts w:hint="eastAsia" w:ascii="仿宋_GB2312" w:hAnsi="宋体" w:cs="仿宋_GB2312"/>
          <w:color w:val="000000"/>
          <w:kern w:val="0"/>
          <w:szCs w:val="30"/>
          <w:lang w:eastAsia="zh-CN" w:bidi="ar"/>
        </w:rPr>
        <w:t>和规模。</w:t>
      </w:r>
    </w:p>
    <w:p w14:paraId="42AEE346">
      <w:pPr>
        <w:pStyle w:val="4"/>
        <w:spacing w:before="204" w:after="81"/>
        <w:ind w:firstLine="0" w:firstLineChars="0"/>
        <w:rPr>
          <w:rFonts w:ascii="Times New Roman" w:hAnsi="Times New Roman" w:cs="Times New Roman"/>
        </w:rPr>
      </w:pPr>
      <w:bookmarkStart w:id="118" w:name="_Toc3058"/>
      <w:bookmarkStart w:id="119" w:name="_Toc5822"/>
      <w:r>
        <w:rPr>
          <w:rFonts w:hint="eastAsia" w:ascii="Times New Roman" w:hAnsi="Times New Roman" w:cs="Times New Roman"/>
        </w:rPr>
        <w:t>第三节 实施保障</w:t>
      </w:r>
      <w:bookmarkEnd w:id="118"/>
      <w:bookmarkEnd w:id="119"/>
    </w:p>
    <w:p w14:paraId="3CC6A2F2">
      <w:pPr>
        <w:pStyle w:val="5"/>
        <w:widowControl w:val="0"/>
        <w:numPr>
          <w:ilvl w:val="0"/>
          <w:numId w:val="0"/>
        </w:numPr>
        <w:tabs>
          <w:tab w:val="left" w:pos="420"/>
        </w:tabs>
        <w:spacing w:beforeAutospacing="1" w:line="240" w:lineRule="auto"/>
        <w:ind w:left="102" w:leftChars="0" w:firstLine="602" w:firstLineChars="200"/>
        <w:rPr>
          <w:rFonts w:ascii="仿宋_GB2312" w:hAnsi="仿宋" w:cs="Times New Roman"/>
          <w:szCs w:val="30"/>
        </w:rPr>
      </w:pPr>
      <w:r>
        <w:rPr>
          <w:rFonts w:hint="eastAsia" w:ascii="仿宋_GB2312" w:hAnsi="仿宋" w:eastAsia="仿宋_GB2312" w:cs="Times New Roman"/>
          <w:b/>
          <w:bCs/>
          <w:kern w:val="2"/>
          <w:sz w:val="30"/>
          <w:szCs w:val="30"/>
          <w:lang w:val="en-US" w:eastAsia="zh-CN" w:bidi="ar-SA"/>
        </w:rPr>
        <w:t>一、</w:t>
      </w:r>
      <w:r>
        <w:rPr>
          <w:rFonts w:hint="eastAsia" w:ascii="仿宋_GB2312" w:hAnsi="仿宋" w:cs="Times New Roman"/>
          <w:szCs w:val="30"/>
        </w:rPr>
        <w:t>强化组织保障</w:t>
      </w:r>
    </w:p>
    <w:p w14:paraId="41B00A39">
      <w:pPr>
        <w:ind w:firstLine="600"/>
        <w:jc w:val="left"/>
        <w:rPr>
          <w:rFonts w:ascii="仿宋_GB2312" w:hAnsi="宋体" w:cs="仿宋_GB2312"/>
          <w:color w:val="000000"/>
          <w:kern w:val="0"/>
          <w:szCs w:val="30"/>
          <w:lang w:bidi="ar"/>
        </w:rPr>
      </w:pPr>
      <w:r>
        <w:rPr>
          <w:rFonts w:hint="eastAsia" w:ascii="仿宋_GB2312" w:hAnsi="宋体" w:cs="仿宋_GB2312"/>
          <w:color w:val="000000"/>
          <w:kern w:val="0"/>
          <w:szCs w:val="30"/>
          <w:lang w:bidi="ar"/>
        </w:rPr>
        <w:t>镇级人民政府作为规划实施的主体，应积极建立部门协同、上下联动的工作机制，落实上位国土空间规划确定的目标要求，确定本镇发展的具体目标和任务，制定推进规划的实施措施，建立重大问题的政策研究机制和专家论证制度，以及重大建设项目公示与听证制度，提高决策的科学性。</w:t>
      </w:r>
    </w:p>
    <w:p w14:paraId="30D23D05">
      <w:pPr>
        <w:pStyle w:val="5"/>
        <w:widowControl w:val="0"/>
        <w:numPr>
          <w:ilvl w:val="0"/>
          <w:numId w:val="0"/>
        </w:numPr>
        <w:tabs>
          <w:tab w:val="left" w:pos="420"/>
        </w:tabs>
        <w:spacing w:beforeAutospacing="1" w:line="240" w:lineRule="auto"/>
        <w:ind w:left="102" w:leftChars="0" w:firstLine="602" w:firstLineChars="200"/>
        <w:rPr>
          <w:rFonts w:ascii="仿宋_GB2312" w:hAnsi="仿宋" w:cs="Times New Roman"/>
          <w:szCs w:val="30"/>
        </w:rPr>
      </w:pPr>
      <w:r>
        <w:rPr>
          <w:rFonts w:hint="eastAsia" w:ascii="仿宋_GB2312" w:hAnsi="仿宋" w:eastAsia="仿宋_GB2312" w:cs="Times New Roman"/>
          <w:b/>
          <w:bCs/>
          <w:kern w:val="2"/>
          <w:sz w:val="30"/>
          <w:szCs w:val="30"/>
          <w:lang w:val="en-US" w:eastAsia="zh-CN" w:bidi="ar-SA"/>
        </w:rPr>
        <w:t>二、</w:t>
      </w:r>
      <w:r>
        <w:rPr>
          <w:rFonts w:hint="eastAsia" w:ascii="仿宋_GB2312" w:hAnsi="仿宋" w:cs="Times New Roman"/>
          <w:szCs w:val="30"/>
        </w:rPr>
        <w:t>加强社会公众参与</w:t>
      </w:r>
    </w:p>
    <w:p w14:paraId="516F4E17">
      <w:pPr>
        <w:ind w:firstLine="600"/>
        <w:jc w:val="left"/>
        <w:rPr>
          <w:rFonts w:ascii="仿宋_GB2312" w:hAnsi="宋体" w:cs="仿宋_GB2312"/>
          <w:color w:val="000000"/>
          <w:kern w:val="0"/>
          <w:szCs w:val="30"/>
          <w:lang w:bidi="ar"/>
        </w:rPr>
      </w:pPr>
      <w:r>
        <w:rPr>
          <w:rFonts w:hint="eastAsia" w:ascii="仿宋_GB2312" w:hAnsi="宋体" w:cs="仿宋_GB2312"/>
          <w:color w:val="000000"/>
          <w:kern w:val="0"/>
          <w:szCs w:val="30"/>
          <w:lang w:bidi="ar"/>
        </w:rPr>
        <w:t>推进公众参与的</w:t>
      </w:r>
      <w:r>
        <w:rPr>
          <w:rFonts w:hint="eastAsia" w:ascii="仿宋_GB2312" w:hAnsi="宋体" w:cs="仿宋_GB2312"/>
          <w:color w:val="000000"/>
          <w:kern w:val="0"/>
          <w:szCs w:val="30"/>
          <w:lang w:eastAsia="zh-CN" w:bidi="ar"/>
        </w:rPr>
        <w:t>法治化</w:t>
      </w:r>
      <w:r>
        <w:rPr>
          <w:rFonts w:hint="eastAsia" w:ascii="仿宋_GB2312" w:hAnsi="宋体" w:cs="仿宋_GB2312"/>
          <w:color w:val="000000"/>
          <w:kern w:val="0"/>
          <w:szCs w:val="30"/>
          <w:lang w:bidi="ar"/>
        </w:rPr>
        <w:t>和制度化。提高全社会对</w:t>
      </w:r>
      <w:r>
        <w:rPr>
          <w:rFonts w:hint="eastAsia" w:ascii="仿宋_GB2312" w:hAnsi="宋体" w:cs="仿宋_GB2312"/>
          <w:color w:val="000000"/>
          <w:kern w:val="0"/>
          <w:szCs w:val="30"/>
          <w:lang w:eastAsia="zh-CN" w:bidi="ar"/>
        </w:rPr>
        <w:t>总体规划</w:t>
      </w:r>
      <w:r>
        <w:rPr>
          <w:rFonts w:hint="eastAsia" w:ascii="仿宋_GB2312" w:hAnsi="宋体" w:cs="仿宋_GB2312"/>
          <w:color w:val="000000"/>
          <w:kern w:val="0"/>
          <w:szCs w:val="30"/>
          <w:lang w:bidi="ar"/>
        </w:rPr>
        <w:t>实施重要性的认识，增强规划意识，提高维护和执行规划的自觉性，推进规划的实施。充分利用互联网、报纸媒体等各类传播媒介，加强对规划的宣传，将公众参与引入规划编制和管理的各个阶段。提高全社会对国土</w:t>
      </w:r>
      <w:r>
        <w:rPr>
          <w:rFonts w:hint="eastAsia" w:ascii="仿宋_GB2312" w:hAnsi="宋体" w:cs="仿宋_GB2312"/>
          <w:color w:val="000000"/>
          <w:kern w:val="0"/>
          <w:szCs w:val="30"/>
          <w:lang w:eastAsia="zh-CN" w:bidi="ar"/>
        </w:rPr>
        <w:t>空间规划</w:t>
      </w:r>
      <w:r>
        <w:rPr>
          <w:rFonts w:hint="eastAsia" w:ascii="仿宋_GB2312" w:hAnsi="宋体" w:cs="仿宋_GB2312"/>
          <w:color w:val="000000"/>
          <w:kern w:val="0"/>
          <w:szCs w:val="30"/>
          <w:lang w:bidi="ar"/>
        </w:rPr>
        <w:t>实施重要性的认识，增强规划意识，提高维护和执行规划的自觉性，推进规划的实施。</w:t>
      </w:r>
    </w:p>
    <w:p w14:paraId="7E8D3474">
      <w:pPr>
        <w:pStyle w:val="5"/>
        <w:widowControl w:val="0"/>
        <w:numPr>
          <w:ilvl w:val="0"/>
          <w:numId w:val="0"/>
        </w:numPr>
        <w:tabs>
          <w:tab w:val="left" w:pos="420"/>
        </w:tabs>
        <w:spacing w:beforeAutospacing="1" w:line="240" w:lineRule="auto"/>
        <w:ind w:left="102" w:leftChars="0" w:firstLine="602" w:firstLineChars="200"/>
        <w:rPr>
          <w:rFonts w:ascii="仿宋_GB2312" w:hAnsi="仿宋" w:cs="Times New Roman"/>
          <w:szCs w:val="30"/>
        </w:rPr>
      </w:pPr>
      <w:r>
        <w:rPr>
          <w:rFonts w:hint="eastAsia" w:ascii="仿宋_GB2312" w:hAnsi="仿宋" w:eastAsia="仿宋_GB2312" w:cs="Times New Roman"/>
          <w:b/>
          <w:bCs/>
          <w:kern w:val="2"/>
          <w:sz w:val="30"/>
          <w:szCs w:val="30"/>
          <w:lang w:val="en-US" w:eastAsia="zh-CN" w:bidi="ar-SA"/>
        </w:rPr>
        <w:t>三、</w:t>
      </w:r>
      <w:r>
        <w:rPr>
          <w:rFonts w:hint="eastAsia" w:ascii="仿宋_GB2312" w:hAnsi="仿宋" w:cs="Times New Roman"/>
          <w:szCs w:val="30"/>
        </w:rPr>
        <w:t>健全动态监测评估机制</w:t>
      </w:r>
    </w:p>
    <w:p w14:paraId="120ED3E4">
      <w:pPr>
        <w:ind w:firstLine="600"/>
        <w:jc w:val="left"/>
        <w:rPr>
          <w:rFonts w:ascii="仿宋_GB2312" w:hAnsi="宋体" w:cs="仿宋_GB2312"/>
          <w:color w:val="000000"/>
          <w:kern w:val="0"/>
          <w:szCs w:val="30"/>
          <w:lang w:bidi="ar"/>
        </w:rPr>
      </w:pPr>
      <w:r>
        <w:rPr>
          <w:rFonts w:hint="eastAsia" w:ascii="仿宋_GB2312" w:hAnsi="宋体" w:cs="仿宋_GB2312"/>
          <w:color w:val="000000"/>
          <w:kern w:val="0"/>
          <w:szCs w:val="30"/>
          <w:lang w:bidi="ar"/>
        </w:rPr>
        <w:t>按照“一年一体检、五年一评估”的评估机制，定期评估规划主要目标、空间布局、重大工程及项目等执行情况，以及各行政村对本规划的落实情况。因全镇发展战略和发展布局做出重大调整、国家、省、市级重大项目落实等，确需修改规划的情况，依法依规进行申报审批。</w:t>
      </w:r>
    </w:p>
    <w:p w14:paraId="43AF6684">
      <w:pPr>
        <w:pStyle w:val="5"/>
        <w:widowControl w:val="0"/>
        <w:numPr>
          <w:ilvl w:val="0"/>
          <w:numId w:val="0"/>
        </w:numPr>
        <w:tabs>
          <w:tab w:val="left" w:pos="420"/>
        </w:tabs>
        <w:spacing w:beforeAutospacing="1" w:line="240" w:lineRule="auto"/>
        <w:ind w:left="102" w:leftChars="0" w:firstLine="602" w:firstLineChars="200"/>
        <w:rPr>
          <w:rFonts w:ascii="仿宋_GB2312" w:hAnsi="仿宋" w:cs="Times New Roman"/>
          <w:szCs w:val="30"/>
        </w:rPr>
      </w:pPr>
      <w:r>
        <w:rPr>
          <w:rFonts w:hint="eastAsia" w:ascii="仿宋_GB2312" w:hAnsi="仿宋" w:eastAsia="仿宋_GB2312" w:cs="Times New Roman"/>
          <w:b/>
          <w:bCs/>
          <w:kern w:val="2"/>
          <w:sz w:val="30"/>
          <w:szCs w:val="30"/>
          <w:lang w:val="en-US" w:eastAsia="zh-CN" w:bidi="ar-SA"/>
        </w:rPr>
        <w:t>四、</w:t>
      </w:r>
      <w:r>
        <w:rPr>
          <w:rFonts w:hint="eastAsia" w:ascii="仿宋_GB2312" w:hAnsi="仿宋" w:cs="Times New Roman"/>
          <w:szCs w:val="30"/>
        </w:rPr>
        <w:t>实施监管机制</w:t>
      </w:r>
    </w:p>
    <w:p w14:paraId="2486E5A4">
      <w:pPr>
        <w:ind w:firstLine="600"/>
        <w:jc w:val="left"/>
        <w:rPr>
          <w:rFonts w:hint="eastAsia" w:ascii="仿宋_GB2312" w:hAnsi="宋体" w:cs="仿宋_GB2312"/>
          <w:color w:val="000000"/>
          <w:kern w:val="0"/>
          <w:szCs w:val="30"/>
          <w:lang w:val="en-US" w:eastAsia="zh-CN" w:bidi="ar"/>
        </w:rPr>
      </w:pPr>
      <w:r>
        <w:rPr>
          <w:rFonts w:hint="eastAsia" w:ascii="仿宋_GB2312" w:hAnsi="宋体" w:cs="仿宋_GB2312"/>
          <w:color w:val="000000"/>
          <w:kern w:val="0"/>
          <w:szCs w:val="30"/>
          <w:lang w:val="en-US" w:eastAsia="zh-CN" w:bidi="ar"/>
        </w:rPr>
        <w:t>利用国土空间规划“一张图”实施监督系统，实现对红花铺镇规划刚性管控执行情况实时监测、预警和定期评估。经依法批准的规划必须严格执行，任何部门和个人不得随意修改、违规变更。建立规划实施考核问责制度，明确职责分工，促进行政机关和有关主体主动接受社会监督。</w:t>
      </w:r>
    </w:p>
    <w:p w14:paraId="41C0948E">
      <w:pPr>
        <w:rPr>
          <w:rFonts w:hint="eastAsia" w:ascii="Times New Roman" w:hAnsi="Times New Roman" w:eastAsia="黑体" w:cs="Times New Roman"/>
          <w:bCs/>
          <w:kern w:val="44"/>
          <w:sz w:val="32"/>
          <w:szCs w:val="44"/>
          <w:lang w:val="en-US" w:eastAsia="zh-CN" w:bidi="ar-SA"/>
        </w:rPr>
        <w:sectPr>
          <w:headerReference r:id="rId25" w:type="default"/>
          <w:pgSz w:w="11906" w:h="16838"/>
          <w:pgMar w:top="1701" w:right="1418" w:bottom="1531" w:left="1701" w:header="1134" w:footer="737" w:gutter="0"/>
          <w:cols w:space="425" w:num="1"/>
          <w:docGrid w:type="lines" w:linePitch="408" w:charSpace="0"/>
        </w:sectPr>
      </w:pPr>
      <w:r>
        <w:rPr>
          <w:rFonts w:ascii="仿宋_GB2312" w:hAnsi="宋体" w:cs="仿宋_GB2312"/>
          <w:color w:val="000000"/>
          <w:kern w:val="0"/>
          <w:szCs w:val="30"/>
          <w:lang w:bidi="ar"/>
        </w:rPr>
        <w:br w:type="page"/>
      </w:r>
      <w:bookmarkStart w:id="120" w:name="_Toc19416"/>
    </w:p>
    <w:p w14:paraId="55D30A43">
      <w:pPr>
        <w:pStyle w:val="3"/>
        <w:numPr>
          <w:ilvl w:val="0"/>
          <w:numId w:val="0"/>
        </w:numPr>
        <w:spacing w:before="204" w:after="81"/>
        <w:jc w:val="center"/>
        <w:rPr>
          <w:rFonts w:hint="eastAsia" w:ascii="Times New Roman" w:hAnsi="Times New Roman" w:eastAsia="黑体" w:cs="Times New Roman"/>
          <w:b/>
          <w:bCs w:val="0"/>
          <w:kern w:val="44"/>
          <w:sz w:val="32"/>
          <w:szCs w:val="44"/>
          <w:lang w:val="en-US" w:eastAsia="zh-CN" w:bidi="ar-SA"/>
        </w:rPr>
      </w:pPr>
      <w:r>
        <w:rPr>
          <w:rFonts w:ascii="Times New Roman" w:hAnsi="Times New Roman" w:cs="Times New Roman"/>
          <w:b/>
          <w:bCs w:val="0"/>
        </w:rPr>
        <w:t>第十</w:t>
      </w:r>
      <w:r>
        <w:rPr>
          <w:rFonts w:hint="eastAsia" w:ascii="Times New Roman" w:hAnsi="Times New Roman" w:cs="Times New Roman"/>
          <w:b/>
          <w:bCs w:val="0"/>
          <w:lang w:eastAsia="zh-CN"/>
        </w:rPr>
        <w:t>一</w:t>
      </w:r>
      <w:r>
        <w:rPr>
          <w:rFonts w:ascii="Times New Roman" w:hAnsi="Times New Roman" w:cs="Times New Roman"/>
          <w:b/>
          <w:bCs w:val="0"/>
        </w:rPr>
        <w:t xml:space="preserve">章  </w:t>
      </w:r>
      <w:r>
        <w:rPr>
          <w:rFonts w:hint="eastAsia" w:ascii="Times New Roman" w:hAnsi="Times New Roman" w:cs="Times New Roman"/>
          <w:b/>
          <w:bCs w:val="0"/>
          <w:kern w:val="44"/>
          <w:sz w:val="32"/>
          <w:szCs w:val="44"/>
          <w:lang w:val="en-US" w:eastAsia="zh-CN" w:bidi="ar-SA"/>
        </w:rPr>
        <w:t>红花铺镇</w:t>
      </w:r>
      <w:r>
        <w:rPr>
          <w:rFonts w:hint="eastAsia" w:ascii="Times New Roman" w:hAnsi="Times New Roman" w:eastAsia="黑体" w:cs="Times New Roman"/>
          <w:b/>
          <w:bCs w:val="0"/>
          <w:kern w:val="44"/>
          <w:sz w:val="32"/>
          <w:szCs w:val="44"/>
          <w:lang w:val="en-US" w:eastAsia="zh-CN" w:bidi="ar-SA"/>
        </w:rPr>
        <w:t>“通则式”规划技术管理规定</w:t>
      </w:r>
      <w:bookmarkEnd w:id="120"/>
    </w:p>
    <w:p w14:paraId="1CE3F2D4">
      <w:pPr>
        <w:numPr>
          <w:ilvl w:val="0"/>
          <w:numId w:val="0"/>
        </w:numPr>
        <w:ind w:firstLine="600" w:firstLineChars="200"/>
        <w:rPr>
          <w:rFonts w:hint="default"/>
          <w:highlight w:val="none"/>
          <w:lang w:val="en-US" w:eastAsia="zh-CN"/>
        </w:rPr>
      </w:pPr>
      <w:r>
        <w:rPr>
          <w:rFonts w:hint="eastAsia"/>
          <w:highlight w:val="none"/>
          <w:lang w:val="en-US" w:eastAsia="zh-CN"/>
        </w:rPr>
        <w:t>红花铺镇共四个行政村，永生村、草凉驿村单独编制实用性村庄规划，剩余红花铺村、白家店村纳入“通则式”规划管理。</w:t>
      </w:r>
    </w:p>
    <w:p w14:paraId="04D072F6">
      <w:pPr>
        <w:pStyle w:val="4"/>
        <w:numPr>
          <w:ilvl w:val="0"/>
          <w:numId w:val="0"/>
        </w:numPr>
        <w:spacing w:before="204" w:after="81"/>
        <w:ind w:left="0" w:leftChars="0" w:firstLine="0" w:firstLineChars="0"/>
        <w:rPr>
          <w:rFonts w:hint="eastAsia" w:ascii="Times New Roman" w:hAnsi="Times New Roman" w:cs="Times New Roman"/>
          <w:lang w:val="en-US" w:eastAsia="zh-CN"/>
        </w:rPr>
      </w:pPr>
      <w:bookmarkStart w:id="121" w:name="_Toc13150"/>
      <w:r>
        <w:rPr>
          <w:rFonts w:hint="eastAsia" w:ascii="Times New Roman" w:hAnsi="Times New Roman" w:eastAsia="仿宋_GB2312" w:cs="Times New Roman"/>
          <w:b/>
          <w:bCs/>
          <w:kern w:val="2"/>
          <w:sz w:val="32"/>
          <w:szCs w:val="32"/>
          <w:lang w:val="en-US" w:eastAsia="zh-CN" w:bidi="ar-SA"/>
        </w:rPr>
        <w:t>第</w:t>
      </w:r>
      <w:r>
        <w:rPr>
          <w:rFonts w:hint="eastAsia" w:ascii="Times New Roman" w:hAnsi="Times New Roman" w:cs="Times New Roman"/>
          <w:b/>
          <w:bCs/>
          <w:kern w:val="2"/>
          <w:sz w:val="32"/>
          <w:szCs w:val="32"/>
          <w:lang w:val="en-US" w:eastAsia="zh-CN" w:bidi="ar-SA"/>
        </w:rPr>
        <w:t>一</w:t>
      </w:r>
      <w:r>
        <w:rPr>
          <w:rFonts w:hint="eastAsia" w:ascii="Times New Roman" w:hAnsi="Times New Roman" w:eastAsia="仿宋_GB2312" w:cs="Times New Roman"/>
          <w:b/>
          <w:bCs/>
          <w:kern w:val="2"/>
          <w:sz w:val="32"/>
          <w:szCs w:val="32"/>
          <w:lang w:val="en-US" w:eastAsia="zh-CN" w:bidi="ar-SA"/>
        </w:rPr>
        <w:t>节</w:t>
      </w:r>
      <w:r>
        <w:rPr>
          <w:rFonts w:hint="eastAsia" w:ascii="Times New Roman" w:hAnsi="Times New Roman" w:cs="Times New Roman"/>
          <w:b/>
          <w:bCs/>
          <w:kern w:val="2"/>
          <w:sz w:val="32"/>
          <w:szCs w:val="32"/>
          <w:lang w:val="en-US" w:eastAsia="zh-CN" w:bidi="ar-SA"/>
        </w:rPr>
        <w:t xml:space="preserve"> </w:t>
      </w:r>
      <w:r>
        <w:rPr>
          <w:rFonts w:hint="eastAsia" w:ascii="Times New Roman" w:hAnsi="Times New Roman" w:cs="Times New Roman"/>
          <w:lang w:val="en-US" w:eastAsia="zh-CN"/>
        </w:rPr>
        <w:t>村庄类型及概况</w:t>
      </w:r>
      <w:bookmarkEnd w:id="121"/>
    </w:p>
    <w:p w14:paraId="2785AD40">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szCs w:val="30"/>
          <w:lang w:val="en-US" w:eastAsia="zh-CN"/>
        </w:rPr>
      </w:pPr>
      <w:r>
        <w:rPr>
          <w:rFonts w:hint="eastAsia" w:ascii="仿宋_GB2312" w:hAnsi="仿宋" w:eastAsia="仿宋_GB2312" w:cs="Times New Roman"/>
          <w:b/>
          <w:bCs/>
          <w:kern w:val="2"/>
          <w:sz w:val="30"/>
          <w:szCs w:val="30"/>
          <w:lang w:val="en-US" w:eastAsia="zh-CN" w:bidi="ar-SA"/>
        </w:rPr>
        <w:t>一、</w:t>
      </w:r>
      <w:r>
        <w:rPr>
          <w:rFonts w:hint="eastAsia" w:ascii="仿宋_GB2312" w:hAnsi="仿宋" w:cs="Times New Roman"/>
          <w:szCs w:val="30"/>
          <w:lang w:val="en-US" w:eastAsia="zh-CN"/>
        </w:rPr>
        <w:t>村庄类型</w:t>
      </w:r>
    </w:p>
    <w:p w14:paraId="0C0A1F23">
      <w:pPr>
        <w:rPr>
          <w:rFonts w:hint="eastAsia" w:ascii="Times New Roman" w:hAnsi="Times New Roman" w:cs="Times New Roman"/>
          <w:b/>
          <w:bCs/>
          <w:szCs w:val="30"/>
          <w:highlight w:val="none"/>
          <w:lang w:val="en-US" w:eastAsia="zh-CN"/>
        </w:rPr>
      </w:pPr>
      <w:r>
        <w:rPr>
          <w:rFonts w:hint="eastAsia"/>
        </w:rPr>
        <w:t>根据上位规划，确定</w:t>
      </w:r>
      <w:r>
        <w:rPr>
          <w:rFonts w:hint="eastAsia"/>
          <w:lang w:eastAsia="zh-CN"/>
        </w:rPr>
        <w:t>红花铺村</w:t>
      </w:r>
      <w:r>
        <w:rPr>
          <w:rFonts w:hint="eastAsia"/>
        </w:rPr>
        <w:t>为</w:t>
      </w:r>
      <w:r>
        <w:rPr>
          <w:rFonts w:hint="eastAsia"/>
          <w:b/>
          <w:bCs/>
        </w:rPr>
        <w:t>城郊融合类村庄</w:t>
      </w:r>
      <w:r>
        <w:rPr>
          <w:rFonts w:hint="eastAsia"/>
          <w:b/>
          <w:bCs/>
          <w:lang w:eastAsia="zh-CN"/>
        </w:rPr>
        <w:t>，</w:t>
      </w:r>
      <w:r>
        <w:rPr>
          <w:rFonts w:hint="eastAsia"/>
          <w:lang w:eastAsia="zh-CN"/>
        </w:rPr>
        <w:t>白家店村</w:t>
      </w:r>
      <w:r>
        <w:rPr>
          <w:rFonts w:hint="eastAsia"/>
        </w:rPr>
        <w:t>为</w:t>
      </w:r>
      <w:r>
        <w:rPr>
          <w:rFonts w:hint="eastAsia" w:ascii="Times New Roman" w:hAnsi="Times New Roman" w:cs="Times New Roman"/>
          <w:b/>
          <w:bCs/>
          <w:szCs w:val="30"/>
          <w:highlight w:val="none"/>
          <w:lang w:val="en-US" w:eastAsia="zh-CN"/>
        </w:rPr>
        <w:t>集聚提升类村庄。</w:t>
      </w:r>
    </w:p>
    <w:p w14:paraId="16543F20">
      <w:pPr>
        <w:rPr>
          <w:rFonts w:hint="eastAsia"/>
        </w:rPr>
      </w:pPr>
      <w:r>
        <w:rPr>
          <w:rFonts w:hint="eastAsia"/>
          <w:lang w:eastAsia="zh-CN"/>
        </w:rPr>
        <w:t>红花铺村</w:t>
      </w:r>
      <w:r>
        <w:rPr>
          <w:rFonts w:hint="eastAsia"/>
        </w:rPr>
        <w:t>作为镇区的主要组成部分，应加快城乡产业融合发展、基础设施互联互通、公共服务设施共建共享等。</w:t>
      </w:r>
    </w:p>
    <w:p w14:paraId="50746A75">
      <w:pPr>
        <w:rPr>
          <w:rFonts w:hint="eastAsia"/>
        </w:rPr>
      </w:pPr>
      <w:r>
        <w:rPr>
          <w:rFonts w:hint="eastAsia"/>
          <w:lang w:eastAsia="zh-CN"/>
        </w:rPr>
        <w:t>白家庄村</w:t>
      </w:r>
      <w:r>
        <w:rPr>
          <w:rFonts w:hint="eastAsia"/>
        </w:rPr>
        <w:t>作为乡村发展的核心载体，应加快特色产业升级转型、基础设施提质增效、公共服务扩能创优等。</w:t>
      </w:r>
    </w:p>
    <w:p w14:paraId="598C6A12">
      <w:pPr>
        <w:numPr>
          <w:ilvl w:val="0"/>
          <w:numId w:val="0"/>
        </w:numPr>
        <w:ind w:left="102" w:leftChars="0" w:firstLine="602" w:firstLineChars="200"/>
        <w:outlineLvl w:val="2"/>
        <w:rPr>
          <w:rFonts w:hint="eastAsia" w:ascii="仿宋_GB2312" w:hAnsi="仿宋" w:cs="Times New Roman"/>
          <w:b/>
          <w:bCs/>
          <w:szCs w:val="30"/>
          <w:lang w:val="en-US" w:eastAsia="zh-CN"/>
        </w:rPr>
      </w:pPr>
      <w:r>
        <w:rPr>
          <w:rFonts w:hint="eastAsia" w:ascii="仿宋_GB2312" w:hAnsi="仿宋" w:eastAsia="仿宋_GB2312" w:cs="Times New Roman"/>
          <w:b/>
          <w:bCs/>
          <w:kern w:val="2"/>
          <w:sz w:val="30"/>
          <w:szCs w:val="30"/>
          <w:lang w:val="en-US" w:eastAsia="zh-CN" w:bidi="ar-SA"/>
        </w:rPr>
        <w:t>二、</w:t>
      </w:r>
      <w:r>
        <w:rPr>
          <w:rFonts w:hint="eastAsia" w:ascii="仿宋_GB2312" w:hAnsi="仿宋" w:cs="Times New Roman"/>
          <w:b/>
          <w:bCs/>
          <w:szCs w:val="30"/>
          <w:lang w:val="en-US" w:eastAsia="zh-CN"/>
        </w:rPr>
        <w:t>村庄概况</w:t>
      </w:r>
    </w:p>
    <w:p w14:paraId="11366720">
      <w:pPr>
        <w:pStyle w:val="5"/>
        <w:tabs>
          <w:tab w:val="left" w:pos="420"/>
        </w:tabs>
        <w:outlineLvl w:val="3"/>
      </w:pPr>
      <w:r>
        <w:rPr>
          <w:rFonts w:hint="eastAsia"/>
        </w:rPr>
        <w:t>（一）区位交通</w:t>
      </w:r>
    </w:p>
    <w:p w14:paraId="696A1E68">
      <w:pPr>
        <w:rPr>
          <w:color w:val="auto"/>
        </w:rPr>
      </w:pPr>
      <w:r>
        <w:rPr>
          <w:rFonts w:hint="eastAsia"/>
          <w:color w:val="auto"/>
          <w:lang w:eastAsia="zh-CN"/>
        </w:rPr>
        <w:t>凤县</w:t>
      </w:r>
      <w:r>
        <w:rPr>
          <w:color w:val="auto"/>
        </w:rPr>
        <w:t>位于陕西省西南部，东与</w:t>
      </w:r>
      <w:r>
        <w:rPr>
          <w:rFonts w:hint="default"/>
          <w:color w:val="auto"/>
        </w:rPr>
        <w:fldChar w:fldCharType="begin"/>
      </w:r>
      <w:r>
        <w:rPr>
          <w:rFonts w:hint="default"/>
          <w:color w:val="auto"/>
        </w:rPr>
        <w:instrText xml:space="preserve"> HYPERLINK "https://baike.baidu.com/item/%E5%A4%AA%E7%99%BD%E5%8E%BF/2699121?fromModule=lemma_inlink" \t "https://baike.baidu.com/item/%E5%87%A4%E5%8E%BF/_blank" </w:instrText>
      </w:r>
      <w:r>
        <w:rPr>
          <w:rFonts w:hint="default"/>
          <w:color w:val="auto"/>
        </w:rPr>
        <w:fldChar w:fldCharType="separate"/>
      </w:r>
      <w:r>
        <w:rPr>
          <w:rFonts w:hint="default"/>
          <w:color w:val="auto"/>
        </w:rPr>
        <w:t>太白县</w:t>
      </w:r>
      <w:r>
        <w:rPr>
          <w:rFonts w:hint="default"/>
          <w:color w:val="auto"/>
        </w:rPr>
        <w:fldChar w:fldCharType="end"/>
      </w:r>
      <w:r>
        <w:rPr>
          <w:rFonts w:hint="default"/>
          <w:color w:val="auto"/>
        </w:rPr>
        <w:t>毗邻，南与</w:t>
      </w:r>
      <w:r>
        <w:rPr>
          <w:rFonts w:hint="default"/>
          <w:color w:val="auto"/>
        </w:rPr>
        <w:fldChar w:fldCharType="begin"/>
      </w:r>
      <w:r>
        <w:rPr>
          <w:rFonts w:hint="default"/>
          <w:color w:val="auto"/>
        </w:rPr>
        <w:instrText xml:space="preserve"> HYPERLINK "https://baike.baidu.com/item/%E6%B1%89%E4%B8%AD%E5%B8%82/2453961?fromModule=lemma_inlink" \t "https://baike.baidu.com/item/%E5%87%A4%E5%8E%BF/_blank" </w:instrText>
      </w:r>
      <w:r>
        <w:rPr>
          <w:rFonts w:hint="default"/>
          <w:color w:val="auto"/>
        </w:rPr>
        <w:fldChar w:fldCharType="separate"/>
      </w:r>
      <w:r>
        <w:rPr>
          <w:rFonts w:hint="default"/>
          <w:color w:val="auto"/>
        </w:rPr>
        <w:t>汉中市</w:t>
      </w:r>
      <w:r>
        <w:rPr>
          <w:rFonts w:hint="default"/>
          <w:color w:val="auto"/>
        </w:rPr>
        <w:fldChar w:fldCharType="end"/>
      </w:r>
      <w:r>
        <w:rPr>
          <w:rFonts w:hint="default"/>
          <w:color w:val="auto"/>
        </w:rPr>
        <w:fldChar w:fldCharType="begin"/>
      </w:r>
      <w:r>
        <w:rPr>
          <w:rFonts w:hint="default"/>
          <w:color w:val="auto"/>
        </w:rPr>
        <w:instrText xml:space="preserve"> HYPERLINK "https://baike.baidu.com/item/%E7%95%99%E5%9D%9D%E5%8E%BF/4636977?fromModule=lemma_inlink" \t "https://baike.baidu.com/item/%E5%87%A4%E5%8E%BF/_blank" </w:instrText>
      </w:r>
      <w:r>
        <w:rPr>
          <w:rFonts w:hint="default"/>
          <w:color w:val="auto"/>
        </w:rPr>
        <w:fldChar w:fldCharType="separate"/>
      </w:r>
      <w:r>
        <w:rPr>
          <w:rFonts w:hint="default"/>
          <w:color w:val="auto"/>
        </w:rPr>
        <w:t>留坝县</w:t>
      </w:r>
      <w:r>
        <w:rPr>
          <w:rFonts w:hint="default"/>
          <w:color w:val="auto"/>
        </w:rPr>
        <w:fldChar w:fldCharType="end"/>
      </w:r>
      <w:r>
        <w:rPr>
          <w:rFonts w:hint="default"/>
          <w:color w:val="auto"/>
        </w:rPr>
        <w:t>、</w:t>
      </w:r>
      <w:r>
        <w:rPr>
          <w:rFonts w:hint="default"/>
          <w:color w:val="auto"/>
        </w:rPr>
        <w:fldChar w:fldCharType="begin"/>
      </w:r>
      <w:r>
        <w:rPr>
          <w:rFonts w:hint="default"/>
          <w:color w:val="auto"/>
        </w:rPr>
        <w:instrText xml:space="preserve"> HYPERLINK "https://baike.baidu.com/item/%E5%8B%89%E5%8E%BF/7059521?fromModule=lemma_inlink" \t "https://baike.baidu.com/item/%E5%87%A4%E5%8E%BF/_blank" </w:instrText>
      </w:r>
      <w:r>
        <w:rPr>
          <w:rFonts w:hint="default"/>
          <w:color w:val="auto"/>
        </w:rPr>
        <w:fldChar w:fldCharType="separate"/>
      </w:r>
      <w:r>
        <w:rPr>
          <w:rFonts w:hint="default"/>
          <w:color w:val="auto"/>
        </w:rPr>
        <w:t>勉县</w:t>
      </w:r>
      <w:r>
        <w:rPr>
          <w:rFonts w:hint="default"/>
          <w:color w:val="auto"/>
        </w:rPr>
        <w:fldChar w:fldCharType="end"/>
      </w:r>
      <w:r>
        <w:rPr>
          <w:rFonts w:hint="default"/>
          <w:color w:val="auto"/>
        </w:rPr>
        <w:t>接壤，西与</w:t>
      </w:r>
      <w:r>
        <w:rPr>
          <w:rFonts w:hint="default"/>
          <w:color w:val="auto"/>
        </w:rPr>
        <w:fldChar w:fldCharType="begin"/>
      </w:r>
      <w:r>
        <w:rPr>
          <w:rFonts w:hint="default"/>
          <w:color w:val="auto"/>
        </w:rPr>
        <w:instrText xml:space="preserve"> HYPERLINK "https://baike.baidu.com/item/%E7%94%98%E8%82%83%E7%9C%81/684374?fromModule=lemma_inlink" \t "https://baike.baidu.com/item/%E5%87%A4%E5%8E%BF/_blank" </w:instrText>
      </w:r>
      <w:r>
        <w:rPr>
          <w:rFonts w:hint="default"/>
          <w:color w:val="auto"/>
        </w:rPr>
        <w:fldChar w:fldCharType="separate"/>
      </w:r>
      <w:r>
        <w:rPr>
          <w:rFonts w:hint="default"/>
          <w:color w:val="auto"/>
        </w:rPr>
        <w:t>甘肃省</w:t>
      </w:r>
      <w:r>
        <w:rPr>
          <w:rFonts w:hint="default"/>
          <w:color w:val="auto"/>
        </w:rPr>
        <w:fldChar w:fldCharType="end"/>
      </w:r>
      <w:r>
        <w:rPr>
          <w:rFonts w:hint="default"/>
          <w:color w:val="auto"/>
        </w:rPr>
        <w:fldChar w:fldCharType="begin"/>
      </w:r>
      <w:r>
        <w:rPr>
          <w:rFonts w:hint="default"/>
          <w:color w:val="auto"/>
        </w:rPr>
        <w:instrText xml:space="preserve"> HYPERLINK "https://baike.baidu.com/item/%E4%B8%A4%E5%BD%93%E5%8E%BF/4676261?fromModule=lemma_inlink" \t "https://baike.baidu.com/item/%E5%87%A4%E5%8E%BF/_blank" </w:instrText>
      </w:r>
      <w:r>
        <w:rPr>
          <w:rFonts w:hint="default"/>
          <w:color w:val="auto"/>
        </w:rPr>
        <w:fldChar w:fldCharType="separate"/>
      </w:r>
      <w:r>
        <w:rPr>
          <w:rFonts w:hint="default"/>
          <w:color w:val="auto"/>
        </w:rPr>
        <w:t>两当县</w:t>
      </w:r>
      <w:r>
        <w:rPr>
          <w:rFonts w:hint="default"/>
          <w:color w:val="auto"/>
        </w:rPr>
        <w:fldChar w:fldCharType="end"/>
      </w:r>
      <w:r>
        <w:rPr>
          <w:rFonts w:hint="default"/>
          <w:color w:val="auto"/>
        </w:rPr>
        <w:t>相连，北与</w:t>
      </w:r>
      <w:r>
        <w:rPr>
          <w:rFonts w:hint="default"/>
          <w:color w:val="auto"/>
        </w:rPr>
        <w:fldChar w:fldCharType="begin"/>
      </w:r>
      <w:r>
        <w:rPr>
          <w:rFonts w:hint="default"/>
          <w:color w:val="auto"/>
        </w:rPr>
        <w:instrText xml:space="preserve"> HYPERLINK "https://baike.baidu.com/item/%E9%99%88%E4%BB%93%E5%8C%BA/0?fromModule=lemma_inlink" \t "https://baike.baidu.com/item/%E5%87%A4%E5%8E%BF/_blank" </w:instrText>
      </w:r>
      <w:r>
        <w:rPr>
          <w:rFonts w:hint="default"/>
          <w:color w:val="auto"/>
        </w:rPr>
        <w:fldChar w:fldCharType="separate"/>
      </w:r>
      <w:r>
        <w:rPr>
          <w:rFonts w:hint="default"/>
          <w:color w:val="auto"/>
        </w:rPr>
        <w:t>陈仓区</w:t>
      </w:r>
      <w:r>
        <w:rPr>
          <w:rFonts w:hint="default"/>
          <w:color w:val="auto"/>
        </w:rPr>
        <w:fldChar w:fldCharType="end"/>
      </w:r>
      <w:r>
        <w:rPr>
          <w:rFonts w:hint="default"/>
          <w:color w:val="auto"/>
        </w:rPr>
        <w:t>、</w:t>
      </w:r>
      <w:r>
        <w:rPr>
          <w:rFonts w:hint="default"/>
          <w:color w:val="auto"/>
        </w:rPr>
        <w:fldChar w:fldCharType="begin"/>
      </w:r>
      <w:r>
        <w:rPr>
          <w:rFonts w:hint="default"/>
          <w:color w:val="auto"/>
        </w:rPr>
        <w:instrText xml:space="preserve"> HYPERLINK "https://baike.baidu.com/item/%E6%B8%AD%E6%BB%A8%E5%8C%BA/2701613?fromModule=lemma_inlink" \t "https://baike.baidu.com/item/%E5%87%A4%E5%8E%BF/_blank" </w:instrText>
      </w:r>
      <w:r>
        <w:rPr>
          <w:rFonts w:hint="default"/>
          <w:color w:val="auto"/>
        </w:rPr>
        <w:fldChar w:fldCharType="separate"/>
      </w:r>
      <w:r>
        <w:rPr>
          <w:rFonts w:hint="default"/>
          <w:color w:val="auto"/>
        </w:rPr>
        <w:t>渭滨区</w:t>
      </w:r>
      <w:r>
        <w:rPr>
          <w:rFonts w:hint="default"/>
          <w:color w:val="auto"/>
        </w:rPr>
        <w:fldChar w:fldCharType="end"/>
      </w:r>
      <w:r>
        <w:rPr>
          <w:rFonts w:hint="default"/>
          <w:color w:val="auto"/>
        </w:rPr>
        <w:t>相邻</w:t>
      </w:r>
      <w:r>
        <w:rPr>
          <w:color w:val="auto"/>
        </w:rPr>
        <w:t>。</w:t>
      </w:r>
    </w:p>
    <w:p w14:paraId="12898E96">
      <w:pPr>
        <w:rPr>
          <w:color w:val="auto"/>
        </w:rPr>
      </w:pPr>
      <w:r>
        <w:rPr>
          <w:rFonts w:hint="eastAsia"/>
          <w:color w:val="auto"/>
          <w:lang w:eastAsia="zh-CN"/>
        </w:rPr>
        <w:t>红花铺镇</w:t>
      </w:r>
      <w:r>
        <w:rPr>
          <w:color w:val="auto"/>
        </w:rPr>
        <w:t>地处凤县东北部，东与</w:t>
      </w:r>
      <w:r>
        <w:rPr>
          <w:rFonts w:hint="default"/>
          <w:color w:val="auto"/>
        </w:rPr>
        <w:fldChar w:fldCharType="begin"/>
      </w:r>
      <w:r>
        <w:rPr>
          <w:rFonts w:hint="default"/>
          <w:color w:val="auto"/>
        </w:rPr>
        <w:instrText xml:space="preserve"> HYPERLINK "https://baike.baidu.com/item/%E6%B2%B3%E5%8F%A3%E9%95%87/2861258?fromModule=lemma_inlink" \t "https://baike.baidu.com/item/_blank" </w:instrText>
      </w:r>
      <w:r>
        <w:rPr>
          <w:rFonts w:hint="default"/>
          <w:color w:val="auto"/>
        </w:rPr>
        <w:fldChar w:fldCharType="separate"/>
      </w:r>
      <w:r>
        <w:rPr>
          <w:rFonts w:hint="default"/>
          <w:color w:val="auto"/>
        </w:rPr>
        <w:t>河口镇</w:t>
      </w:r>
      <w:r>
        <w:rPr>
          <w:rFonts w:hint="default"/>
          <w:color w:val="auto"/>
        </w:rPr>
        <w:fldChar w:fldCharType="end"/>
      </w:r>
      <w:r>
        <w:rPr>
          <w:rFonts w:hint="default"/>
          <w:color w:val="auto"/>
        </w:rPr>
        <w:t>相邻，南与</w:t>
      </w:r>
      <w:r>
        <w:rPr>
          <w:rFonts w:hint="default"/>
          <w:color w:val="auto"/>
        </w:rPr>
        <w:fldChar w:fldCharType="begin"/>
      </w:r>
      <w:r>
        <w:rPr>
          <w:rFonts w:hint="default"/>
          <w:color w:val="auto"/>
        </w:rPr>
        <w:instrText xml:space="preserve"> HYPERLINK "https://baike.baidu.com/item/%E5%87%A4%E5%B7%9E%E9%95%87/5991298?fromModule=lemma_inlink" \t "https://baike.baidu.com/item/_blank" </w:instrText>
      </w:r>
      <w:r>
        <w:rPr>
          <w:rFonts w:hint="default"/>
          <w:color w:val="auto"/>
        </w:rPr>
        <w:fldChar w:fldCharType="separate"/>
      </w:r>
      <w:r>
        <w:rPr>
          <w:rFonts w:hint="default"/>
          <w:color w:val="auto"/>
        </w:rPr>
        <w:t>凤州镇</w:t>
      </w:r>
      <w:r>
        <w:rPr>
          <w:rFonts w:hint="default"/>
          <w:color w:val="auto"/>
        </w:rPr>
        <w:fldChar w:fldCharType="end"/>
      </w:r>
      <w:r>
        <w:rPr>
          <w:rFonts w:hint="default"/>
          <w:color w:val="auto"/>
        </w:rPr>
        <w:t>接壤，西与</w:t>
      </w:r>
      <w:r>
        <w:rPr>
          <w:rFonts w:hint="default"/>
          <w:color w:val="auto"/>
        </w:rPr>
        <w:fldChar w:fldCharType="begin"/>
      </w:r>
      <w:r>
        <w:rPr>
          <w:rFonts w:hint="default"/>
          <w:color w:val="auto"/>
        </w:rPr>
        <w:instrText xml:space="preserve"> HYPERLINK "https://baike.baidu.com/item/%E5%94%90%E8%97%8F%E9%95%87/5991142?fromModule=lemma_inlink" \t "https://baike.baidu.com/item/_blank" </w:instrText>
      </w:r>
      <w:r>
        <w:rPr>
          <w:rFonts w:hint="default"/>
          <w:color w:val="auto"/>
        </w:rPr>
        <w:fldChar w:fldCharType="separate"/>
      </w:r>
      <w:r>
        <w:rPr>
          <w:rFonts w:hint="default"/>
          <w:color w:val="auto"/>
        </w:rPr>
        <w:t>唐藏镇</w:t>
      </w:r>
      <w:r>
        <w:rPr>
          <w:rFonts w:hint="default"/>
          <w:color w:val="auto"/>
        </w:rPr>
        <w:fldChar w:fldCharType="end"/>
      </w:r>
      <w:r>
        <w:rPr>
          <w:rFonts w:hint="default"/>
          <w:color w:val="auto"/>
        </w:rPr>
        <w:t>相连，北与</w:t>
      </w:r>
      <w:r>
        <w:rPr>
          <w:rFonts w:hint="default"/>
          <w:color w:val="auto"/>
        </w:rPr>
        <w:fldChar w:fldCharType="begin"/>
      </w:r>
      <w:r>
        <w:rPr>
          <w:rFonts w:hint="default"/>
          <w:color w:val="auto"/>
        </w:rPr>
        <w:instrText xml:space="preserve"> HYPERLINK "https://baike.baidu.com/item/%E9%BB%84%E7%89%9B%E9%93%BA%E9%95%87/5991574?fromModule=lemma_inlink" \t "https://baike.baidu.com/item/_blank" </w:instrText>
      </w:r>
      <w:r>
        <w:rPr>
          <w:rFonts w:hint="default"/>
          <w:color w:val="auto"/>
        </w:rPr>
        <w:fldChar w:fldCharType="separate"/>
      </w:r>
      <w:r>
        <w:rPr>
          <w:rFonts w:hint="default"/>
          <w:color w:val="auto"/>
        </w:rPr>
        <w:t>黄牛铺镇</w:t>
      </w:r>
      <w:r>
        <w:rPr>
          <w:rFonts w:hint="default"/>
          <w:color w:val="auto"/>
        </w:rPr>
        <w:fldChar w:fldCharType="end"/>
      </w:r>
      <w:r>
        <w:rPr>
          <w:rFonts w:hint="default"/>
          <w:color w:val="auto"/>
        </w:rPr>
        <w:t>毗邻</w:t>
      </w:r>
      <w:r>
        <w:rPr>
          <w:rFonts w:hint="eastAsia"/>
          <w:color w:val="auto"/>
        </w:rPr>
        <w:t>。</w:t>
      </w:r>
    </w:p>
    <w:p w14:paraId="422FC7A4">
      <w:pPr>
        <w:rPr>
          <w:rFonts w:hint="eastAsia"/>
          <w:color w:val="auto"/>
          <w:lang w:eastAsia="zh-CN"/>
        </w:rPr>
      </w:pPr>
      <w:r>
        <w:rPr>
          <w:rFonts w:hint="eastAsia"/>
          <w:color w:val="auto"/>
          <w:lang w:eastAsia="zh-CN"/>
        </w:rPr>
        <w:t>红花铺村位于凤县红</w:t>
      </w:r>
      <w:r>
        <w:rPr>
          <w:rFonts w:hint="default"/>
          <w:color w:val="auto"/>
          <w:lang w:eastAsia="zh-CN"/>
        </w:rPr>
        <w:t>花铺镇东北部</w:t>
      </w:r>
      <w:r>
        <w:rPr>
          <w:rFonts w:hint="eastAsia"/>
          <w:color w:val="auto"/>
          <w:lang w:eastAsia="zh-CN"/>
        </w:rPr>
        <w:t>，北接</w:t>
      </w:r>
      <w:r>
        <w:rPr>
          <w:rFonts w:hint="eastAsia"/>
          <w:color w:val="auto"/>
          <w:lang w:val="en-US" w:eastAsia="zh-CN"/>
        </w:rPr>
        <w:t>三岔河村</w:t>
      </w:r>
      <w:r>
        <w:rPr>
          <w:rFonts w:hint="eastAsia"/>
          <w:color w:val="auto"/>
          <w:lang w:eastAsia="zh-CN"/>
        </w:rPr>
        <w:t>，南临</w:t>
      </w:r>
      <w:r>
        <w:rPr>
          <w:rFonts w:hint="eastAsia"/>
          <w:color w:val="auto"/>
          <w:lang w:val="en-US" w:eastAsia="zh-CN"/>
        </w:rPr>
        <w:t>草凉驿村、白家店村</w:t>
      </w:r>
      <w:r>
        <w:rPr>
          <w:rFonts w:hint="eastAsia"/>
          <w:color w:val="auto"/>
          <w:lang w:eastAsia="zh-CN"/>
        </w:rPr>
        <w:t>，西接</w:t>
      </w:r>
      <w:r>
        <w:rPr>
          <w:rFonts w:hint="eastAsia"/>
          <w:color w:val="auto"/>
          <w:lang w:val="en-US" w:eastAsia="zh-CN"/>
        </w:rPr>
        <w:t>唐藏镇</w:t>
      </w:r>
      <w:r>
        <w:rPr>
          <w:rFonts w:hint="eastAsia"/>
          <w:color w:val="auto"/>
          <w:lang w:eastAsia="zh-CN"/>
        </w:rPr>
        <w:t>，东与</w:t>
      </w:r>
      <w:r>
        <w:rPr>
          <w:rFonts w:hint="eastAsia"/>
          <w:color w:val="auto"/>
          <w:lang w:val="en-US" w:eastAsia="zh-CN"/>
        </w:rPr>
        <w:t>永生村</w:t>
      </w:r>
      <w:r>
        <w:rPr>
          <w:rFonts w:hint="eastAsia"/>
          <w:color w:val="auto"/>
          <w:lang w:eastAsia="zh-CN"/>
        </w:rPr>
        <w:t>接壤。</w:t>
      </w:r>
      <w:r>
        <w:rPr>
          <w:rFonts w:hint="eastAsia"/>
          <w:color w:val="auto"/>
          <w:lang w:val="en-US" w:eastAsia="zh-CN"/>
        </w:rPr>
        <w:t>省</w:t>
      </w:r>
      <w:r>
        <w:rPr>
          <w:rFonts w:hint="default" w:ascii="Times New Roman" w:hAnsi="Times New Roman" w:cs="Times New Roman"/>
          <w:color w:val="auto"/>
          <w:lang w:val="en-US" w:eastAsia="zh-CN"/>
        </w:rPr>
        <w:t>道S219</w:t>
      </w:r>
      <w:r>
        <w:rPr>
          <w:rFonts w:hint="eastAsia"/>
          <w:color w:val="auto"/>
          <w:lang w:eastAsia="zh-CN"/>
        </w:rPr>
        <w:t>穿村而过，对外交通便捷。</w:t>
      </w:r>
    </w:p>
    <w:p w14:paraId="188A8D12">
      <w:pPr>
        <w:rPr>
          <w:rFonts w:hint="eastAsia"/>
          <w:color w:val="auto"/>
          <w:lang w:eastAsia="zh-CN"/>
        </w:rPr>
      </w:pPr>
      <w:r>
        <w:rPr>
          <w:rFonts w:hint="eastAsia"/>
          <w:color w:val="auto"/>
          <w:lang w:eastAsia="zh-CN"/>
        </w:rPr>
        <w:t>白家店村位于凤县红</w:t>
      </w:r>
      <w:r>
        <w:rPr>
          <w:rFonts w:hint="default"/>
          <w:color w:val="auto"/>
          <w:lang w:eastAsia="zh-CN"/>
        </w:rPr>
        <w:t>花铺镇</w:t>
      </w:r>
      <w:r>
        <w:rPr>
          <w:rFonts w:hint="eastAsia"/>
          <w:color w:val="auto"/>
          <w:lang w:val="en-US" w:eastAsia="zh-CN"/>
        </w:rPr>
        <w:t>西南</w:t>
      </w:r>
      <w:r>
        <w:rPr>
          <w:rFonts w:hint="default"/>
          <w:color w:val="auto"/>
          <w:lang w:eastAsia="zh-CN"/>
        </w:rPr>
        <w:t>部</w:t>
      </w:r>
      <w:r>
        <w:rPr>
          <w:rFonts w:hint="eastAsia"/>
          <w:color w:val="auto"/>
          <w:lang w:eastAsia="zh-CN"/>
        </w:rPr>
        <w:t>，北接</w:t>
      </w:r>
      <w:r>
        <w:rPr>
          <w:rFonts w:hint="eastAsia"/>
          <w:color w:val="auto"/>
          <w:lang w:val="en-US" w:eastAsia="zh-CN"/>
        </w:rPr>
        <w:t>唐藏镇</w:t>
      </w:r>
      <w:r>
        <w:rPr>
          <w:rFonts w:hint="eastAsia"/>
          <w:color w:val="auto"/>
          <w:lang w:eastAsia="zh-CN"/>
        </w:rPr>
        <w:t>，南临</w:t>
      </w:r>
      <w:r>
        <w:rPr>
          <w:rFonts w:hint="eastAsia"/>
          <w:color w:val="auto"/>
          <w:lang w:val="en-US" w:eastAsia="zh-CN"/>
        </w:rPr>
        <w:t>凤州镇</w:t>
      </w:r>
      <w:r>
        <w:rPr>
          <w:rFonts w:hint="eastAsia"/>
          <w:color w:val="auto"/>
          <w:lang w:eastAsia="zh-CN"/>
        </w:rPr>
        <w:t>，西接</w:t>
      </w:r>
      <w:r>
        <w:rPr>
          <w:rFonts w:hint="eastAsia"/>
          <w:color w:val="auto"/>
          <w:lang w:val="en-US" w:eastAsia="zh-CN"/>
        </w:rPr>
        <w:t>唐藏镇</w:t>
      </w:r>
      <w:r>
        <w:rPr>
          <w:rFonts w:hint="eastAsia"/>
          <w:color w:val="auto"/>
          <w:lang w:eastAsia="zh-CN"/>
        </w:rPr>
        <w:t>，东与</w:t>
      </w:r>
      <w:r>
        <w:rPr>
          <w:rFonts w:hint="eastAsia"/>
          <w:color w:val="auto"/>
          <w:lang w:val="en-US" w:eastAsia="zh-CN"/>
        </w:rPr>
        <w:t>草凉驿村</w:t>
      </w:r>
      <w:r>
        <w:rPr>
          <w:rFonts w:hint="eastAsia"/>
          <w:color w:val="auto"/>
          <w:lang w:eastAsia="zh-CN"/>
        </w:rPr>
        <w:t>接壤。</w:t>
      </w:r>
      <w:r>
        <w:rPr>
          <w:rFonts w:hint="eastAsia"/>
          <w:color w:val="auto"/>
          <w:lang w:val="en-US" w:eastAsia="zh-CN"/>
        </w:rPr>
        <w:t>省</w:t>
      </w:r>
      <w:r>
        <w:rPr>
          <w:rFonts w:hint="default" w:ascii="Times New Roman" w:hAnsi="Times New Roman" w:cs="Times New Roman"/>
          <w:color w:val="auto"/>
          <w:lang w:val="en-US" w:eastAsia="zh-CN"/>
        </w:rPr>
        <w:t>道S219</w:t>
      </w:r>
      <w:r>
        <w:rPr>
          <w:rFonts w:hint="default" w:ascii="Times New Roman" w:hAnsi="Times New Roman" w:cs="Times New Roman"/>
          <w:color w:val="auto"/>
          <w:lang w:eastAsia="zh-CN"/>
        </w:rPr>
        <w:t>穿</w:t>
      </w:r>
      <w:r>
        <w:rPr>
          <w:rFonts w:hint="eastAsia"/>
          <w:color w:val="auto"/>
          <w:lang w:eastAsia="zh-CN"/>
        </w:rPr>
        <w:t>村而过,对外交通便捷。</w:t>
      </w:r>
    </w:p>
    <w:p w14:paraId="3E0AAC6E">
      <w:pPr>
        <w:outlineLvl w:val="3"/>
        <w:rPr>
          <w:rFonts w:ascii="Times New Roman" w:hAnsi="Times New Roman" w:eastAsia="仿宋_GB2312" w:cs="Times New Roman"/>
          <w:b/>
          <w:bCs/>
          <w:color w:val="auto"/>
          <w:kern w:val="2"/>
          <w:sz w:val="30"/>
          <w:szCs w:val="30"/>
          <w:lang w:val="en-US" w:eastAsia="zh-CN" w:bidi="ar-SA"/>
        </w:rPr>
      </w:pPr>
      <w:r>
        <w:rPr>
          <w:rFonts w:hint="eastAsia" w:ascii="Times New Roman" w:hAnsi="Times New Roman" w:eastAsia="仿宋_GB2312" w:cs="Times New Roman"/>
          <w:b/>
          <w:bCs/>
          <w:color w:val="auto"/>
          <w:kern w:val="2"/>
          <w:sz w:val="30"/>
          <w:szCs w:val="30"/>
          <w:lang w:val="en-US" w:eastAsia="zh-CN" w:bidi="ar-SA"/>
        </w:rPr>
        <w:t>（二）自然条件</w:t>
      </w:r>
    </w:p>
    <w:p w14:paraId="3A85C73C">
      <w:pPr>
        <w:ind w:firstLine="602"/>
        <w:rPr>
          <w:rFonts w:ascii="Times New Roman" w:hAnsi="Times New Roman" w:eastAsia="仿宋_GB2312" w:cs="Times New Roman"/>
          <w:color w:val="auto"/>
          <w:kern w:val="2"/>
          <w:sz w:val="30"/>
          <w:szCs w:val="30"/>
          <w:lang w:val="en-US" w:eastAsia="zh-CN" w:bidi="ar-SA"/>
        </w:rPr>
      </w:pPr>
      <w:r>
        <w:rPr>
          <w:rFonts w:hint="eastAsia" w:ascii="Times New Roman" w:hAnsi="Times New Roman" w:eastAsia="仿宋_GB2312" w:cs="Times New Roman"/>
          <w:color w:val="auto"/>
          <w:kern w:val="2"/>
          <w:sz w:val="30"/>
          <w:szCs w:val="30"/>
          <w:lang w:val="en-US" w:eastAsia="zh-CN" w:bidi="ar-SA"/>
        </w:rPr>
        <w:t>红花铺村</w:t>
      </w:r>
      <w:r>
        <w:rPr>
          <w:rFonts w:hint="eastAsia" w:ascii="Times New Roman" w:hAnsi="Times New Roman" w:cs="Times New Roman"/>
          <w:color w:val="auto"/>
          <w:kern w:val="2"/>
          <w:sz w:val="30"/>
          <w:szCs w:val="30"/>
          <w:lang w:val="en-US" w:eastAsia="zh-CN" w:bidi="ar-SA"/>
        </w:rPr>
        <w:t>、白家店村</w:t>
      </w:r>
      <w:r>
        <w:rPr>
          <w:rFonts w:hint="eastAsia" w:ascii="Times New Roman" w:hAnsi="Times New Roman" w:eastAsia="仿宋_GB2312" w:cs="Times New Roman"/>
          <w:color w:val="auto"/>
          <w:kern w:val="2"/>
          <w:sz w:val="30"/>
          <w:szCs w:val="30"/>
          <w:lang w:val="en-US" w:eastAsia="zh-CN" w:bidi="ar-SA"/>
        </w:rPr>
        <w:t>地势整体较为平坦。</w:t>
      </w:r>
    </w:p>
    <w:p w14:paraId="39392961">
      <w:pPr>
        <w:ind w:firstLine="602"/>
        <w:rPr>
          <w:color w:val="auto"/>
        </w:rPr>
      </w:pPr>
      <w:r>
        <w:rPr>
          <w:rFonts w:hint="eastAsia" w:ascii="Times New Roman" w:hAnsi="Times New Roman" w:eastAsia="仿宋_GB2312" w:cs="Times New Roman"/>
          <w:color w:val="auto"/>
          <w:kern w:val="2"/>
          <w:sz w:val="30"/>
          <w:szCs w:val="30"/>
          <w:lang w:val="en-US" w:eastAsia="zh-CN" w:bidi="ar-SA"/>
        </w:rPr>
        <w:t>红花铺村</w:t>
      </w:r>
      <w:r>
        <w:rPr>
          <w:rFonts w:hint="eastAsia" w:ascii="Times New Roman" w:hAnsi="Times New Roman" w:cs="Times New Roman"/>
          <w:color w:val="auto"/>
          <w:kern w:val="2"/>
          <w:sz w:val="30"/>
          <w:szCs w:val="30"/>
          <w:lang w:val="en-US" w:eastAsia="zh-CN" w:bidi="ar-SA"/>
        </w:rPr>
        <w:t>、白家店村</w:t>
      </w:r>
      <w:r>
        <w:rPr>
          <w:rFonts w:hint="eastAsia" w:ascii="Times New Roman" w:hAnsi="Times New Roman" w:eastAsia="仿宋_GB2312" w:cs="Times New Roman"/>
          <w:color w:val="auto"/>
          <w:kern w:val="2"/>
          <w:sz w:val="30"/>
          <w:szCs w:val="30"/>
          <w:lang w:val="en-US" w:eastAsia="zh-CN" w:bidi="ar-SA"/>
        </w:rPr>
        <w:t>气候</w:t>
      </w:r>
      <w:r>
        <w:rPr>
          <w:rFonts w:hint="eastAsia" w:ascii="Times New Roman" w:hAnsi="Times New Roman" w:cs="Times New Roman"/>
          <w:color w:val="auto"/>
          <w:kern w:val="2"/>
          <w:sz w:val="30"/>
          <w:szCs w:val="30"/>
          <w:lang w:val="en-US" w:eastAsia="zh-CN" w:bidi="ar-SA"/>
        </w:rPr>
        <w:t>均</w:t>
      </w:r>
      <w:r>
        <w:rPr>
          <w:rFonts w:hint="eastAsia" w:ascii="Times New Roman" w:hAnsi="Times New Roman" w:eastAsia="仿宋_GB2312" w:cs="Times New Roman"/>
          <w:color w:val="auto"/>
          <w:kern w:val="2"/>
          <w:sz w:val="30"/>
          <w:szCs w:val="30"/>
          <w:lang w:val="en-US" w:eastAsia="zh-CN" w:bidi="ar-SA"/>
        </w:rPr>
        <w:t>属</w:t>
      </w:r>
      <w:r>
        <w:rPr>
          <w:rFonts w:ascii="Times New Roman" w:hAnsi="Times New Roman" w:eastAsia="仿宋_GB2312" w:cs="Times New Roman"/>
          <w:color w:val="auto"/>
          <w:kern w:val="2"/>
          <w:sz w:val="30"/>
          <w:szCs w:val="30"/>
          <w:lang w:val="en-US" w:eastAsia="zh-CN" w:bidi="ar-SA"/>
        </w:rPr>
        <w:t>暖温带大陆性</w:t>
      </w:r>
      <w:r>
        <w:rPr>
          <w:rFonts w:hint="eastAsia" w:ascii="Times New Roman" w:hAnsi="Times New Roman" w:eastAsia="仿宋_GB2312" w:cs="Times New Roman"/>
          <w:color w:val="auto"/>
          <w:kern w:val="2"/>
          <w:sz w:val="30"/>
          <w:szCs w:val="30"/>
          <w:lang w:val="en-US" w:eastAsia="zh-CN" w:bidi="ar-SA"/>
        </w:rPr>
        <w:t>气候。其特点是四季分明，光照充足，春季干旱多风，夏季炎热多雨，秋季温和凉爽，</w:t>
      </w:r>
      <w:r>
        <w:rPr>
          <w:rFonts w:hint="eastAsia"/>
          <w:color w:val="auto"/>
        </w:rPr>
        <w:t>冬季干冷少雪。</w:t>
      </w:r>
      <w:r>
        <w:rPr>
          <w:rFonts w:hint="default" w:ascii="Times New Roman" w:hAnsi="Times New Roman" w:cs="Times New Roman"/>
          <w:color w:val="auto"/>
        </w:rPr>
        <w:t>年平均气温9.2摄氏度，年降水总量589.40毫米，降雨主要集中在每年的7月至9月。</w:t>
      </w:r>
    </w:p>
    <w:p w14:paraId="60F54D3F">
      <w:pPr>
        <w:pStyle w:val="5"/>
        <w:tabs>
          <w:tab w:val="left" w:pos="420"/>
        </w:tabs>
        <w:outlineLvl w:val="3"/>
      </w:pPr>
      <w:r>
        <w:rPr>
          <w:rFonts w:hint="eastAsia"/>
        </w:rPr>
        <w:t>（三）人口及社会经济</w:t>
      </w:r>
    </w:p>
    <w:p w14:paraId="22B9CDB2">
      <w:pPr>
        <w:ind w:firstLine="602"/>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红花铺村共有7村民小组，</w:t>
      </w:r>
      <w:r>
        <w:rPr>
          <w:rFonts w:hint="eastAsia" w:ascii="Times New Roman" w:hAnsi="Times New Roman" w:cs="Times New Roman"/>
          <w:color w:val="auto"/>
          <w:kern w:val="2"/>
          <w:sz w:val="30"/>
          <w:szCs w:val="30"/>
          <w:lang w:val="en-US" w:eastAsia="zh-CN" w:bidi="ar-SA"/>
        </w:rPr>
        <w:t>截至</w:t>
      </w:r>
      <w:r>
        <w:rPr>
          <w:rFonts w:hint="default" w:ascii="Times New Roman" w:hAnsi="Times New Roman" w:eastAsia="仿宋_GB2312" w:cs="Times New Roman"/>
          <w:color w:val="auto"/>
          <w:kern w:val="2"/>
          <w:sz w:val="30"/>
          <w:szCs w:val="30"/>
          <w:lang w:val="en-US" w:eastAsia="zh-CN" w:bidi="ar-SA"/>
        </w:rPr>
        <w:t>2020年年底，共有341户，1139人。202</w:t>
      </w:r>
      <w:r>
        <w:rPr>
          <w:rFonts w:hint="default" w:ascii="Times New Roman" w:hAnsi="Times New Roman" w:cs="Times New Roman"/>
          <w:color w:val="auto"/>
          <w:kern w:val="2"/>
          <w:sz w:val="30"/>
          <w:szCs w:val="30"/>
          <w:lang w:val="en-US" w:eastAsia="zh-CN" w:bidi="ar-SA"/>
        </w:rPr>
        <w:t>0</w:t>
      </w:r>
      <w:r>
        <w:rPr>
          <w:rFonts w:hint="default" w:ascii="Times New Roman" w:hAnsi="Times New Roman" w:eastAsia="仿宋_GB2312" w:cs="Times New Roman"/>
          <w:color w:val="auto"/>
          <w:kern w:val="2"/>
          <w:sz w:val="30"/>
          <w:szCs w:val="30"/>
          <w:lang w:val="en-US" w:eastAsia="zh-CN" w:bidi="ar-SA"/>
        </w:rPr>
        <w:t>年全村人均可支配收入12155元，增速6.95%。</w:t>
      </w:r>
    </w:p>
    <w:p w14:paraId="23F197CB">
      <w:pPr>
        <w:ind w:firstLine="602"/>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白家店村共有7村民小组，</w:t>
      </w:r>
      <w:r>
        <w:rPr>
          <w:rFonts w:hint="eastAsia" w:ascii="Times New Roman" w:hAnsi="Times New Roman" w:cs="Times New Roman"/>
          <w:color w:val="auto"/>
          <w:kern w:val="2"/>
          <w:sz w:val="30"/>
          <w:szCs w:val="30"/>
          <w:lang w:val="en-US" w:eastAsia="zh-CN" w:bidi="ar-SA"/>
        </w:rPr>
        <w:t>截至</w:t>
      </w:r>
      <w:r>
        <w:rPr>
          <w:rFonts w:hint="default" w:ascii="Times New Roman" w:hAnsi="Times New Roman" w:eastAsia="仿宋_GB2312" w:cs="Times New Roman"/>
          <w:color w:val="auto"/>
          <w:kern w:val="2"/>
          <w:sz w:val="30"/>
          <w:szCs w:val="30"/>
          <w:lang w:val="en-US" w:eastAsia="zh-CN" w:bidi="ar-SA"/>
        </w:rPr>
        <w:t>2020年年底，共有209户，639人。202</w:t>
      </w:r>
      <w:r>
        <w:rPr>
          <w:rFonts w:hint="default" w:ascii="Times New Roman" w:hAnsi="Times New Roman" w:cs="Times New Roman"/>
          <w:color w:val="auto"/>
          <w:kern w:val="2"/>
          <w:sz w:val="30"/>
          <w:szCs w:val="30"/>
          <w:lang w:val="en-US" w:eastAsia="zh-CN" w:bidi="ar-SA"/>
        </w:rPr>
        <w:t>0</w:t>
      </w:r>
      <w:r>
        <w:rPr>
          <w:rFonts w:hint="default" w:ascii="Times New Roman" w:hAnsi="Times New Roman" w:eastAsia="仿宋_GB2312" w:cs="Times New Roman"/>
          <w:color w:val="auto"/>
          <w:kern w:val="2"/>
          <w:sz w:val="30"/>
          <w:szCs w:val="30"/>
          <w:lang w:val="en-US" w:eastAsia="zh-CN" w:bidi="ar-SA"/>
        </w:rPr>
        <w:t>年人均可支配收入13500元。</w:t>
      </w:r>
    </w:p>
    <w:p w14:paraId="568947EF">
      <w:pPr>
        <w:pStyle w:val="5"/>
        <w:tabs>
          <w:tab w:val="left" w:pos="420"/>
        </w:tabs>
        <w:outlineLvl w:val="3"/>
        <w:rPr>
          <w:rFonts w:hint="eastAsia"/>
        </w:rPr>
      </w:pPr>
      <w:r>
        <w:rPr>
          <w:rFonts w:hint="eastAsia"/>
        </w:rPr>
        <w:t>（四）土地现状</w:t>
      </w:r>
    </w:p>
    <w:p w14:paraId="6FBCC092">
      <w:pPr>
        <w:ind w:firstLine="602"/>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根据2020年国土变更调查数据，红花铺村总面积5875.20公顷，其中：林地面积最大，总面积5550.02公顷，占村域国土总面积的94.47%。园地面积131.99公顷，占村域国土总面积的2.25%。耕地面积39.90公顷，</w:t>
      </w:r>
      <w:bookmarkStart w:id="122" w:name="_Hlk151653010"/>
      <w:r>
        <w:rPr>
          <w:rFonts w:hint="default" w:ascii="Times New Roman" w:hAnsi="Times New Roman" w:eastAsia="仿宋_GB2312" w:cs="Times New Roman"/>
          <w:color w:val="auto"/>
          <w:kern w:val="2"/>
          <w:sz w:val="30"/>
          <w:szCs w:val="30"/>
          <w:lang w:val="en-US" w:eastAsia="zh-CN" w:bidi="ar-SA"/>
        </w:rPr>
        <w:t>占村域国土总面积的0.68%</w:t>
      </w:r>
      <w:bookmarkEnd w:id="122"/>
      <w:r>
        <w:rPr>
          <w:rFonts w:hint="default" w:ascii="Times New Roman" w:hAnsi="Times New Roman" w:eastAsia="仿宋_GB2312" w:cs="Times New Roman"/>
          <w:color w:val="auto"/>
          <w:kern w:val="2"/>
          <w:sz w:val="30"/>
          <w:szCs w:val="30"/>
          <w:lang w:val="en-US" w:eastAsia="zh-CN" w:bidi="ar-SA"/>
        </w:rPr>
        <w:t>。草地面积19.74公顷，占村域国土总面积的0.34%。农村宅基地面积11.23公顷，占村域国土总面积的0.19%。</w:t>
      </w:r>
    </w:p>
    <w:p w14:paraId="05A3CC76">
      <w:pPr>
        <w:ind w:firstLine="602"/>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0"/>
          <w:szCs w:val="30"/>
          <w:lang w:val="en-US" w:eastAsia="zh-CN" w:bidi="ar-SA"/>
        </w:rPr>
        <w:t>根据2020年国土变更调查数据，白家店村总面积4893.29公顷，其中：林地面积最大，总面积4496.01公顷，占村域国土总面积的91.88%。园地面积229.69公顷，占村域国土总面积的4.69%。湿地面积39.76公顷，占村域国土总面积的0.81%。耕地面积32.10公顷，占村域国土总面积的0.66%。草地面积9.59公顷，占村域国土总面积的0.20%。农村宅基地面积10.08公顷，占村域国土总面积的0.21%。</w:t>
      </w:r>
    </w:p>
    <w:p w14:paraId="5E1D3CEC">
      <w:pPr>
        <w:pStyle w:val="4"/>
        <w:spacing w:before="204" w:after="81"/>
        <w:ind w:firstLine="0" w:firstLineChars="0"/>
        <w:rPr>
          <w:rFonts w:hint="eastAsia" w:ascii="Times New Roman" w:hAnsi="Times New Roman" w:cs="Times New Roman"/>
          <w:highlight w:val="none"/>
          <w:lang w:val="en-US" w:eastAsia="zh-CN"/>
        </w:rPr>
      </w:pPr>
      <w:bookmarkStart w:id="123" w:name="_Toc28879"/>
      <w:r>
        <w:rPr>
          <w:rFonts w:hint="eastAsia" w:ascii="Times New Roman" w:hAnsi="Times New Roman" w:cs="Times New Roman"/>
          <w:highlight w:val="none"/>
        </w:rPr>
        <w:t>第</w:t>
      </w:r>
      <w:r>
        <w:rPr>
          <w:rFonts w:hint="eastAsia" w:ascii="Times New Roman" w:hAnsi="Times New Roman" w:cs="Times New Roman"/>
          <w:highlight w:val="none"/>
          <w:lang w:val="en-US" w:eastAsia="zh-CN"/>
        </w:rPr>
        <w:t>二</w:t>
      </w:r>
      <w:r>
        <w:rPr>
          <w:rFonts w:hint="eastAsia" w:ascii="Times New Roman" w:hAnsi="Times New Roman" w:cs="Times New Roman"/>
          <w:highlight w:val="none"/>
        </w:rPr>
        <w:t xml:space="preserve">节 </w:t>
      </w:r>
      <w:r>
        <w:rPr>
          <w:rFonts w:hint="eastAsia" w:ascii="Times New Roman" w:hAnsi="Times New Roman" w:cs="Times New Roman"/>
          <w:highlight w:val="none"/>
          <w:lang w:val="en-US" w:eastAsia="zh-CN"/>
        </w:rPr>
        <w:t>落实重要控制线</w:t>
      </w:r>
      <w:bookmarkEnd w:id="123"/>
    </w:p>
    <w:p w14:paraId="12890C0B">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b/>
          <w:bCs/>
          <w:kern w:val="2"/>
          <w:sz w:val="30"/>
          <w:szCs w:val="30"/>
          <w:highlight w:val="none"/>
          <w:lang w:val="en-US" w:eastAsia="zh-CN" w:bidi="ar-SA"/>
        </w:rPr>
      </w:pPr>
      <w:r>
        <w:rPr>
          <w:rFonts w:hint="eastAsia" w:ascii="仿宋_GB2312" w:hAnsi="仿宋" w:cs="Times New Roman"/>
          <w:b/>
          <w:bCs/>
          <w:kern w:val="2"/>
          <w:sz w:val="30"/>
          <w:szCs w:val="30"/>
          <w:highlight w:val="none"/>
          <w:lang w:val="en-US" w:eastAsia="zh-CN" w:bidi="ar-SA"/>
        </w:rPr>
        <w:fldChar w:fldCharType="begin"/>
      </w:r>
      <w:r>
        <w:rPr>
          <w:rFonts w:hint="eastAsia" w:ascii="仿宋_GB2312" w:hAnsi="仿宋" w:cs="Times New Roman"/>
          <w:b/>
          <w:bCs/>
          <w:kern w:val="2"/>
          <w:sz w:val="30"/>
          <w:szCs w:val="30"/>
          <w:highlight w:val="none"/>
          <w:lang w:val="en-US" w:eastAsia="zh-CN" w:bidi="ar-SA"/>
        </w:rPr>
        <w:instrText xml:space="preserve"> HYPERLINK \l "_Toc184820270" </w:instrText>
      </w:r>
      <w:r>
        <w:rPr>
          <w:rFonts w:hint="eastAsia" w:ascii="仿宋_GB2312" w:hAnsi="仿宋" w:cs="Times New Roman"/>
          <w:b/>
          <w:bCs/>
          <w:kern w:val="2"/>
          <w:sz w:val="30"/>
          <w:szCs w:val="30"/>
          <w:highlight w:val="none"/>
          <w:lang w:val="en-US" w:eastAsia="zh-CN" w:bidi="ar-SA"/>
        </w:rPr>
        <w:fldChar w:fldCharType="separate"/>
      </w:r>
      <w:r>
        <w:rPr>
          <w:rFonts w:hint="eastAsia" w:ascii="仿宋_GB2312" w:hAnsi="仿宋" w:cs="Times New Roman"/>
          <w:b/>
          <w:bCs/>
          <w:kern w:val="2"/>
          <w:sz w:val="30"/>
          <w:szCs w:val="30"/>
          <w:highlight w:val="none"/>
          <w:lang w:val="en-US" w:eastAsia="zh-CN" w:bidi="ar-SA"/>
        </w:rPr>
        <w:t>一、耕地与永久基本农田保护红线</w:t>
      </w:r>
      <w:r>
        <w:rPr>
          <w:rFonts w:hint="eastAsia" w:ascii="仿宋_GB2312" w:hAnsi="仿宋" w:cs="Times New Roman"/>
          <w:b/>
          <w:bCs/>
          <w:kern w:val="2"/>
          <w:sz w:val="30"/>
          <w:szCs w:val="30"/>
          <w:highlight w:val="none"/>
          <w:lang w:val="en-US" w:eastAsia="zh-CN" w:bidi="ar-SA"/>
        </w:rPr>
        <w:fldChar w:fldCharType="end"/>
      </w:r>
    </w:p>
    <w:p w14:paraId="26FEC392">
      <w:pPr>
        <w:rPr>
          <w:rFonts w:hint="default" w:ascii="Times New Roman" w:hAnsi="Times New Roman" w:cs="Times New Roman"/>
          <w:color w:val="auto"/>
          <w:highlight w:val="none"/>
        </w:rPr>
      </w:pPr>
      <w:r>
        <w:rPr>
          <w:rFonts w:hint="default" w:ascii="Times New Roman" w:hAnsi="Times New Roman" w:cs="Times New Roman"/>
          <w:highlight w:val="none"/>
        </w:rPr>
        <w:t>落实最严</w:t>
      </w:r>
      <w:r>
        <w:rPr>
          <w:rFonts w:hint="default" w:ascii="Times New Roman" w:hAnsi="Times New Roman" w:cs="Times New Roman"/>
          <w:color w:val="auto"/>
          <w:highlight w:val="none"/>
        </w:rPr>
        <w:t>格的耕地保护制度，将上位规划划定的耕地保有量、永久基本农田细化落实到图斑地块，确保图、数、地一致。</w:t>
      </w:r>
    </w:p>
    <w:p w14:paraId="2090E72D">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红花铺村</w:t>
      </w:r>
      <w:r>
        <w:rPr>
          <w:rFonts w:hint="default" w:ascii="Times New Roman" w:hAnsi="Times New Roman" w:cs="Times New Roman"/>
          <w:color w:val="auto"/>
          <w:highlight w:val="none"/>
        </w:rPr>
        <w:t>划定耕地保护目标面积</w:t>
      </w:r>
      <w:r>
        <w:rPr>
          <w:rFonts w:hint="default" w:ascii="Times New Roman" w:hAnsi="Times New Roman" w:cs="Times New Roman"/>
          <w:color w:val="000000"/>
          <w:kern w:val="0"/>
          <w:szCs w:val="30"/>
          <w:highlight w:val="none"/>
          <w:lang w:val="en-US" w:eastAsia="zh-CN" w:bidi="ar"/>
        </w:rPr>
        <w:t>38.13</w:t>
      </w:r>
      <w:r>
        <w:rPr>
          <w:rFonts w:hint="default" w:ascii="Times New Roman" w:hAnsi="Times New Roman" w:cs="Times New Roman"/>
          <w:color w:val="auto"/>
          <w:highlight w:val="none"/>
        </w:rPr>
        <w:t>公顷（</w:t>
      </w:r>
      <w:r>
        <w:rPr>
          <w:rFonts w:hint="default" w:ascii="Times New Roman" w:hAnsi="Times New Roman" w:cs="Times New Roman"/>
          <w:color w:val="auto"/>
          <w:highlight w:val="none"/>
          <w:lang w:val="en-US" w:eastAsia="zh-CN"/>
        </w:rPr>
        <w:t>572.0</w:t>
      </w:r>
      <w:r>
        <w:rPr>
          <w:rFonts w:hint="default" w:ascii="Times New Roman" w:hAnsi="Times New Roman" w:cs="Times New Roman"/>
          <w:color w:val="auto"/>
          <w:highlight w:val="none"/>
        </w:rPr>
        <w:t>亩）和永久基本农田面积</w:t>
      </w:r>
      <w:r>
        <w:rPr>
          <w:rFonts w:hint="default" w:ascii="Times New Roman" w:hAnsi="Times New Roman" w:cs="Times New Roman"/>
          <w:color w:val="000000"/>
          <w:kern w:val="0"/>
          <w:szCs w:val="30"/>
          <w:highlight w:val="none"/>
          <w:lang w:val="en-US" w:eastAsia="zh-CN" w:bidi="ar"/>
        </w:rPr>
        <w:t>27.82</w:t>
      </w:r>
      <w:r>
        <w:rPr>
          <w:rFonts w:hint="default" w:ascii="Times New Roman" w:hAnsi="Times New Roman" w:cs="Times New Roman"/>
          <w:color w:val="auto"/>
          <w:highlight w:val="none"/>
        </w:rPr>
        <w:t>公顷（</w:t>
      </w:r>
      <w:r>
        <w:rPr>
          <w:rFonts w:hint="default" w:ascii="Times New Roman" w:hAnsi="Times New Roman" w:cs="Times New Roman"/>
          <w:color w:val="auto"/>
          <w:highlight w:val="none"/>
          <w:lang w:val="en-US" w:eastAsia="zh-CN"/>
        </w:rPr>
        <w:t>417.3</w:t>
      </w:r>
      <w:r>
        <w:rPr>
          <w:rFonts w:hint="default" w:ascii="Times New Roman" w:hAnsi="Times New Roman" w:cs="Times New Roman"/>
          <w:color w:val="auto"/>
          <w:highlight w:val="none"/>
        </w:rPr>
        <w:t>亩），主要分布在村域</w:t>
      </w:r>
      <w:r>
        <w:rPr>
          <w:rFonts w:hint="default"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 xml:space="preserve">  </w:t>
      </w:r>
    </w:p>
    <w:p w14:paraId="7DF81468">
      <w:pPr>
        <w:rPr>
          <w:rFonts w:hint="eastAsia"/>
          <w:color w:val="auto"/>
          <w:highlight w:val="none"/>
          <w:lang w:val="en-US" w:eastAsia="zh-CN"/>
        </w:rPr>
      </w:pPr>
      <w:r>
        <w:rPr>
          <w:rFonts w:hint="default" w:ascii="Times New Roman" w:hAnsi="Times New Roman" w:cs="Times New Roman"/>
          <w:color w:val="auto"/>
          <w:highlight w:val="none"/>
          <w:lang w:eastAsia="zh-CN"/>
        </w:rPr>
        <w:t>白家店村</w:t>
      </w:r>
      <w:r>
        <w:rPr>
          <w:rFonts w:hint="default" w:ascii="Times New Roman" w:hAnsi="Times New Roman" w:cs="Times New Roman"/>
          <w:color w:val="auto"/>
          <w:highlight w:val="none"/>
        </w:rPr>
        <w:t>划定耕地保护目标面积</w:t>
      </w:r>
      <w:r>
        <w:rPr>
          <w:rFonts w:hint="default" w:ascii="Times New Roman" w:hAnsi="Times New Roman" w:cs="Times New Roman"/>
          <w:color w:val="000000"/>
          <w:kern w:val="0"/>
          <w:szCs w:val="30"/>
          <w:highlight w:val="none"/>
          <w:lang w:val="en-US" w:eastAsia="zh-CN" w:bidi="ar"/>
        </w:rPr>
        <w:t>29.26</w:t>
      </w:r>
      <w:r>
        <w:rPr>
          <w:rFonts w:hint="default" w:ascii="Times New Roman" w:hAnsi="Times New Roman" w:cs="Times New Roman"/>
          <w:color w:val="auto"/>
          <w:highlight w:val="none"/>
        </w:rPr>
        <w:t>公顷（</w:t>
      </w:r>
      <w:r>
        <w:rPr>
          <w:rFonts w:hint="default" w:ascii="Times New Roman" w:hAnsi="Times New Roman" w:cs="Times New Roman"/>
          <w:color w:val="auto"/>
          <w:highlight w:val="none"/>
          <w:lang w:val="en-US" w:eastAsia="zh-CN"/>
        </w:rPr>
        <w:t>438.9</w:t>
      </w:r>
      <w:r>
        <w:rPr>
          <w:rFonts w:hint="default" w:ascii="Times New Roman" w:hAnsi="Times New Roman" w:cs="Times New Roman"/>
          <w:color w:val="auto"/>
          <w:highlight w:val="none"/>
        </w:rPr>
        <w:t>亩）和永久基本农田面积</w:t>
      </w:r>
      <w:r>
        <w:rPr>
          <w:rFonts w:hint="default" w:ascii="Times New Roman" w:hAnsi="Times New Roman" w:cs="Times New Roman"/>
          <w:color w:val="000000"/>
          <w:kern w:val="0"/>
          <w:szCs w:val="30"/>
          <w:highlight w:val="none"/>
          <w:lang w:val="en-US" w:eastAsia="zh-CN" w:bidi="ar"/>
        </w:rPr>
        <w:t>22.67</w:t>
      </w:r>
      <w:r>
        <w:rPr>
          <w:rFonts w:hint="default" w:ascii="Times New Roman" w:hAnsi="Times New Roman" w:cs="Times New Roman"/>
          <w:color w:val="auto"/>
          <w:highlight w:val="none"/>
        </w:rPr>
        <w:t>公顷（</w:t>
      </w:r>
      <w:r>
        <w:rPr>
          <w:rFonts w:hint="default" w:ascii="Times New Roman" w:hAnsi="Times New Roman" w:cs="Times New Roman"/>
          <w:color w:val="auto"/>
          <w:highlight w:val="none"/>
          <w:lang w:val="en-US" w:eastAsia="zh-CN"/>
        </w:rPr>
        <w:t>340.1</w:t>
      </w:r>
      <w:r>
        <w:rPr>
          <w:rFonts w:hint="default" w:ascii="Times New Roman" w:hAnsi="Times New Roman" w:cs="Times New Roman"/>
          <w:color w:val="auto"/>
          <w:highlight w:val="none"/>
        </w:rPr>
        <w:t>亩），主要分布在村域中</w:t>
      </w:r>
      <w:r>
        <w:rPr>
          <w:rFonts w:hint="default" w:ascii="Times New Roman" w:hAnsi="Times New Roman" w:cs="Times New Roman"/>
          <w:color w:val="auto"/>
          <w:highlight w:val="none"/>
          <w:lang w:val="en-US" w:eastAsia="zh-CN"/>
        </w:rPr>
        <w:t>南</w:t>
      </w:r>
      <w:r>
        <w:rPr>
          <w:rFonts w:hint="default" w:ascii="Times New Roman" w:hAnsi="Times New Roman" w:cs="Times New Roman"/>
          <w:color w:val="auto"/>
          <w:highlight w:val="none"/>
        </w:rPr>
        <w:t>部。</w:t>
      </w:r>
      <w:r>
        <w:rPr>
          <w:rFonts w:hint="default" w:ascii="Times New Roman" w:hAnsi="Times New Roman" w:cs="Times New Roman"/>
          <w:color w:val="auto"/>
          <w:highlight w:val="none"/>
          <w:lang w:val="en-US" w:eastAsia="zh-CN"/>
        </w:rPr>
        <w:t xml:space="preserve">   </w:t>
      </w:r>
      <w:r>
        <w:rPr>
          <w:rFonts w:hint="eastAsia"/>
          <w:color w:val="auto"/>
          <w:highlight w:val="none"/>
          <w:lang w:val="en-US" w:eastAsia="zh-CN"/>
        </w:rPr>
        <w:t xml:space="preserve">   </w:t>
      </w:r>
    </w:p>
    <w:p w14:paraId="2E9FC2A9">
      <w:pPr>
        <w:rPr>
          <w:rFonts w:hint="eastAsia" w:ascii="仿宋_GB2312" w:hAnsi="仿宋" w:eastAsia="仿宋_GB2312" w:cs="Times New Roman"/>
          <w:b/>
          <w:bCs/>
          <w:kern w:val="2"/>
          <w:sz w:val="30"/>
          <w:szCs w:val="30"/>
          <w:highlight w:val="none"/>
          <w:lang w:val="en-US" w:eastAsia="zh-CN" w:bidi="ar-SA"/>
        </w:rPr>
      </w:pPr>
      <w:r>
        <w:rPr>
          <w:rFonts w:hint="eastAsia" w:ascii="仿宋_GB2312" w:hAnsi="仿宋" w:eastAsia="仿宋_GB2312" w:cs="Times New Roman"/>
          <w:b/>
          <w:bCs/>
          <w:kern w:val="2"/>
          <w:sz w:val="30"/>
          <w:szCs w:val="30"/>
          <w:highlight w:val="none"/>
          <w:lang w:val="en-US" w:eastAsia="zh-CN" w:bidi="ar-SA"/>
        </w:rPr>
        <w:fldChar w:fldCharType="begin"/>
      </w:r>
      <w:r>
        <w:rPr>
          <w:rFonts w:hint="eastAsia" w:ascii="仿宋_GB2312" w:hAnsi="仿宋" w:eastAsia="仿宋_GB2312" w:cs="Times New Roman"/>
          <w:b/>
          <w:bCs/>
          <w:kern w:val="2"/>
          <w:sz w:val="30"/>
          <w:szCs w:val="30"/>
          <w:highlight w:val="none"/>
          <w:lang w:val="en-US" w:eastAsia="zh-CN" w:bidi="ar-SA"/>
        </w:rPr>
        <w:instrText xml:space="preserve"> HYPERLINK \l "_Toc184820271" </w:instrText>
      </w:r>
      <w:r>
        <w:rPr>
          <w:rFonts w:hint="eastAsia" w:ascii="仿宋_GB2312" w:hAnsi="仿宋" w:eastAsia="仿宋_GB2312" w:cs="Times New Roman"/>
          <w:b/>
          <w:bCs/>
          <w:kern w:val="2"/>
          <w:sz w:val="30"/>
          <w:szCs w:val="30"/>
          <w:highlight w:val="none"/>
          <w:lang w:val="en-US" w:eastAsia="zh-CN" w:bidi="ar-SA"/>
        </w:rPr>
        <w:fldChar w:fldCharType="separate"/>
      </w:r>
      <w:r>
        <w:rPr>
          <w:rFonts w:hint="eastAsia" w:ascii="仿宋_GB2312" w:hAnsi="仿宋" w:eastAsia="仿宋_GB2312" w:cs="Times New Roman"/>
          <w:b/>
          <w:bCs/>
          <w:kern w:val="2"/>
          <w:sz w:val="30"/>
          <w:szCs w:val="30"/>
          <w:highlight w:val="none"/>
          <w:lang w:val="en-US" w:eastAsia="zh-CN" w:bidi="ar-SA"/>
        </w:rPr>
        <w:t>二、生态保护红线</w:t>
      </w:r>
      <w:r>
        <w:rPr>
          <w:rFonts w:hint="eastAsia" w:ascii="仿宋_GB2312" w:hAnsi="仿宋" w:eastAsia="仿宋_GB2312" w:cs="Times New Roman"/>
          <w:b/>
          <w:bCs/>
          <w:kern w:val="2"/>
          <w:sz w:val="30"/>
          <w:szCs w:val="30"/>
          <w:highlight w:val="none"/>
          <w:lang w:val="en-US" w:eastAsia="zh-CN" w:bidi="ar-SA"/>
        </w:rPr>
        <w:fldChar w:fldCharType="end"/>
      </w:r>
    </w:p>
    <w:p w14:paraId="4A00B13B">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红花铺村落实划定生态保护红线</w:t>
      </w:r>
      <w:r>
        <w:rPr>
          <w:rFonts w:hint="default" w:ascii="Times New Roman" w:hAnsi="Times New Roman" w:cs="Times New Roman"/>
          <w:color w:val="000000"/>
          <w:kern w:val="0"/>
          <w:szCs w:val="30"/>
          <w:highlight w:val="none"/>
          <w:lang w:val="en-US" w:eastAsia="zh-CN" w:bidi="ar"/>
        </w:rPr>
        <w:t>3399.51</w:t>
      </w:r>
      <w:r>
        <w:rPr>
          <w:rFonts w:hint="default" w:ascii="Times New Roman" w:hAnsi="Times New Roman" w:cs="Times New Roman"/>
          <w:color w:val="auto"/>
          <w:highlight w:val="none"/>
          <w:lang w:val="en-US" w:eastAsia="zh-CN"/>
        </w:rPr>
        <w:t>公顷（50992.7亩），白家店村落实划定生态保护红线</w:t>
      </w:r>
      <w:r>
        <w:rPr>
          <w:rFonts w:hint="default" w:ascii="Times New Roman" w:hAnsi="Times New Roman" w:cs="Times New Roman"/>
          <w:color w:val="000000"/>
          <w:kern w:val="0"/>
          <w:szCs w:val="30"/>
          <w:highlight w:val="none"/>
          <w:lang w:val="en-US" w:eastAsia="zh-CN" w:bidi="ar"/>
        </w:rPr>
        <w:t>1873.33</w:t>
      </w:r>
      <w:r>
        <w:rPr>
          <w:rFonts w:hint="default" w:ascii="Times New Roman" w:hAnsi="Times New Roman" w:cs="Times New Roman"/>
          <w:color w:val="auto"/>
          <w:highlight w:val="none"/>
          <w:lang w:val="en-US" w:eastAsia="zh-CN"/>
        </w:rPr>
        <w:t>公顷（28100.0亩），均为嘉陵江流域，是秦岭山地水源涵养与</w:t>
      </w:r>
      <w:r>
        <w:rPr>
          <w:rFonts w:hint="eastAsia" w:ascii="Times New Roman" w:hAnsi="Times New Roman" w:cs="Times New Roman"/>
          <w:color w:val="auto"/>
          <w:highlight w:val="none"/>
          <w:lang w:val="en-US" w:eastAsia="zh-CN"/>
        </w:rPr>
        <w:t>生物多样性保护</w:t>
      </w:r>
      <w:r>
        <w:rPr>
          <w:rFonts w:hint="default" w:ascii="Times New Roman" w:hAnsi="Times New Roman" w:cs="Times New Roman"/>
          <w:color w:val="auto"/>
          <w:highlight w:val="none"/>
          <w:lang w:val="en-US" w:eastAsia="zh-CN"/>
        </w:rPr>
        <w:t>生态保护红线。</w:t>
      </w:r>
    </w:p>
    <w:p w14:paraId="0849B70B">
      <w:pPr>
        <w:pStyle w:val="2"/>
        <w:rPr>
          <w:rFonts w:hint="eastAsia" w:ascii="仿宋_GB2312" w:hAnsi="仿宋" w:cs="Times New Roman"/>
          <w:b/>
          <w:bCs/>
          <w:kern w:val="2"/>
          <w:sz w:val="30"/>
          <w:szCs w:val="30"/>
          <w:highlight w:val="none"/>
          <w:lang w:val="en-US" w:eastAsia="zh-CN" w:bidi="ar-SA"/>
        </w:rPr>
      </w:pPr>
      <w:r>
        <w:rPr>
          <w:rFonts w:hint="eastAsia" w:ascii="仿宋_GB2312" w:hAnsi="仿宋" w:cs="Times New Roman"/>
          <w:b/>
          <w:bCs/>
          <w:kern w:val="2"/>
          <w:sz w:val="30"/>
          <w:szCs w:val="30"/>
          <w:highlight w:val="none"/>
          <w:lang w:val="en-US" w:eastAsia="zh-CN" w:bidi="ar-SA"/>
        </w:rPr>
        <w:fldChar w:fldCharType="begin"/>
      </w:r>
      <w:r>
        <w:rPr>
          <w:rFonts w:hint="eastAsia" w:ascii="仿宋_GB2312" w:hAnsi="仿宋" w:cs="Times New Roman"/>
          <w:b/>
          <w:bCs/>
          <w:kern w:val="2"/>
          <w:sz w:val="30"/>
          <w:szCs w:val="30"/>
          <w:highlight w:val="none"/>
          <w:lang w:val="en-US" w:eastAsia="zh-CN" w:bidi="ar-SA"/>
        </w:rPr>
        <w:instrText xml:space="preserve"> HYPERLINK \l "_Toc184820272" </w:instrText>
      </w:r>
      <w:r>
        <w:rPr>
          <w:rFonts w:hint="eastAsia" w:ascii="仿宋_GB2312" w:hAnsi="仿宋" w:cs="Times New Roman"/>
          <w:b/>
          <w:bCs/>
          <w:kern w:val="2"/>
          <w:sz w:val="30"/>
          <w:szCs w:val="30"/>
          <w:highlight w:val="none"/>
          <w:lang w:val="en-US" w:eastAsia="zh-CN" w:bidi="ar-SA"/>
        </w:rPr>
        <w:fldChar w:fldCharType="separate"/>
      </w:r>
      <w:r>
        <w:rPr>
          <w:rFonts w:hint="eastAsia" w:ascii="仿宋_GB2312" w:hAnsi="仿宋" w:cs="Times New Roman"/>
          <w:b/>
          <w:bCs/>
          <w:kern w:val="2"/>
          <w:sz w:val="30"/>
          <w:szCs w:val="30"/>
          <w:highlight w:val="none"/>
          <w:lang w:val="en-US" w:eastAsia="zh-CN" w:bidi="ar-SA"/>
        </w:rPr>
        <w:t>三、村庄建设边界</w:t>
      </w:r>
      <w:r>
        <w:rPr>
          <w:rFonts w:hint="eastAsia" w:ascii="仿宋_GB2312" w:hAnsi="仿宋" w:cs="Times New Roman"/>
          <w:b/>
          <w:bCs/>
          <w:kern w:val="2"/>
          <w:sz w:val="30"/>
          <w:szCs w:val="30"/>
          <w:highlight w:val="none"/>
          <w:lang w:val="en-US" w:eastAsia="zh-CN" w:bidi="ar-SA"/>
        </w:rPr>
        <w:fldChar w:fldCharType="end"/>
      </w:r>
    </w:p>
    <w:p w14:paraId="1A495393">
      <w:pPr>
        <w:rPr>
          <w:rFonts w:hint="default" w:ascii="Times New Roman" w:hAnsi="Times New Roman" w:cs="Times New Roman"/>
          <w:lang w:val="en-US" w:eastAsia="zh-CN"/>
        </w:rPr>
      </w:pPr>
      <w:r>
        <w:rPr>
          <w:rFonts w:hint="default" w:ascii="Times New Roman" w:hAnsi="Times New Roman" w:cs="Times New Roman"/>
          <w:color w:val="auto"/>
          <w:highlight w:val="none"/>
        </w:rPr>
        <w:t>优化落实上位规划划定的村庄建设边界，并开展边界校核，</w:t>
      </w:r>
      <w:r>
        <w:rPr>
          <w:rFonts w:hint="default" w:ascii="Times New Roman" w:hAnsi="Times New Roman" w:cs="Times New Roman"/>
          <w:color w:val="auto"/>
          <w:highlight w:val="none"/>
          <w:lang w:eastAsia="zh-CN"/>
        </w:rPr>
        <w:t>红花铺村</w:t>
      </w:r>
      <w:r>
        <w:rPr>
          <w:rFonts w:hint="default" w:ascii="Times New Roman" w:hAnsi="Times New Roman" w:cs="Times New Roman"/>
          <w:color w:val="auto"/>
          <w:highlight w:val="none"/>
        </w:rPr>
        <w:t>划定村庄建设边界规模</w:t>
      </w:r>
      <w:r>
        <w:rPr>
          <w:rFonts w:hint="default" w:ascii="Times New Roman" w:hAnsi="Times New Roman" w:cs="Times New Roman"/>
          <w:color w:val="auto"/>
          <w:highlight w:val="none"/>
          <w:lang w:val="en-US" w:eastAsia="zh-CN"/>
        </w:rPr>
        <w:t>13.45</w:t>
      </w:r>
      <w:r>
        <w:rPr>
          <w:rFonts w:hint="default" w:ascii="Times New Roman" w:hAnsi="Times New Roman" w:cs="Times New Roman"/>
          <w:color w:val="auto"/>
          <w:highlight w:val="none"/>
        </w:rPr>
        <w:t>公顷（</w:t>
      </w:r>
      <w:r>
        <w:rPr>
          <w:rFonts w:hint="default" w:ascii="Times New Roman" w:hAnsi="Times New Roman" w:cs="Times New Roman"/>
          <w:color w:val="auto"/>
          <w:highlight w:val="none"/>
          <w:lang w:val="en-US" w:eastAsia="zh-CN"/>
        </w:rPr>
        <w:t>201.8</w:t>
      </w:r>
      <w:r>
        <w:rPr>
          <w:rFonts w:hint="default" w:ascii="Times New Roman" w:hAnsi="Times New Roman" w:cs="Times New Roman"/>
          <w:color w:val="auto"/>
          <w:highlight w:val="none"/>
        </w:rPr>
        <w:t>亩），占村域总面积的</w:t>
      </w:r>
      <w:r>
        <w:rPr>
          <w:rFonts w:hint="default" w:ascii="Times New Roman" w:hAnsi="Times New Roman" w:cs="Times New Roman"/>
          <w:color w:val="auto"/>
          <w:highlight w:val="none"/>
          <w:lang w:val="en-US" w:eastAsia="zh-CN"/>
        </w:rPr>
        <w:t>0.23</w:t>
      </w:r>
      <w:r>
        <w:rPr>
          <w:rFonts w:hint="default" w:ascii="Times New Roman" w:hAnsi="Times New Roman" w:cs="Times New Roman"/>
          <w:color w:val="auto"/>
          <w:highlight w:val="none"/>
        </w:rPr>
        <w:t>%，主要分布在村域中部偏</w:t>
      </w:r>
      <w:r>
        <w:rPr>
          <w:rFonts w:hint="default" w:ascii="Times New Roman" w:hAnsi="Times New Roman" w:cs="Times New Roman"/>
          <w:color w:val="auto"/>
          <w:highlight w:val="none"/>
          <w:lang w:val="en-US" w:eastAsia="zh-CN"/>
        </w:rPr>
        <w:t>南</w:t>
      </w:r>
      <w:r>
        <w:rPr>
          <w:rFonts w:hint="default" w:ascii="Times New Roman" w:hAnsi="Times New Roman" w:cs="Times New Roman"/>
          <w:color w:val="auto"/>
          <w:highlight w:val="none"/>
        </w:rPr>
        <w:t>区域。</w:t>
      </w:r>
      <w:r>
        <w:rPr>
          <w:rFonts w:hint="default" w:ascii="Times New Roman" w:hAnsi="Times New Roman" w:cs="Times New Roman"/>
          <w:color w:val="auto"/>
          <w:highlight w:val="none"/>
          <w:lang w:eastAsia="zh-CN"/>
        </w:rPr>
        <w:t>白家店村</w:t>
      </w:r>
      <w:r>
        <w:rPr>
          <w:rFonts w:hint="default" w:ascii="Times New Roman" w:hAnsi="Times New Roman" w:cs="Times New Roman"/>
          <w:color w:val="auto"/>
          <w:highlight w:val="none"/>
        </w:rPr>
        <w:t>划定村庄建设边界规模</w:t>
      </w:r>
      <w:r>
        <w:rPr>
          <w:rFonts w:hint="default" w:ascii="Times New Roman" w:hAnsi="Times New Roman" w:cs="Times New Roman"/>
          <w:color w:val="auto"/>
          <w:highlight w:val="none"/>
          <w:lang w:val="en-US" w:eastAsia="zh-CN"/>
        </w:rPr>
        <w:t>12.76</w:t>
      </w:r>
      <w:r>
        <w:rPr>
          <w:rFonts w:hint="default" w:ascii="Times New Roman" w:hAnsi="Times New Roman" w:cs="Times New Roman"/>
          <w:color w:val="auto"/>
          <w:highlight w:val="none"/>
        </w:rPr>
        <w:t>公顷（</w:t>
      </w:r>
      <w:r>
        <w:rPr>
          <w:rFonts w:hint="default" w:ascii="Times New Roman" w:hAnsi="Times New Roman" w:cs="Times New Roman"/>
          <w:color w:val="auto"/>
          <w:highlight w:val="none"/>
          <w:lang w:val="en-US" w:eastAsia="zh-CN"/>
        </w:rPr>
        <w:t>191.40</w:t>
      </w:r>
      <w:r>
        <w:rPr>
          <w:rFonts w:hint="default" w:ascii="Times New Roman" w:hAnsi="Times New Roman" w:cs="Times New Roman"/>
          <w:color w:val="auto"/>
          <w:highlight w:val="none"/>
        </w:rPr>
        <w:t>亩）</w:t>
      </w:r>
      <w:r>
        <w:rPr>
          <w:rFonts w:hint="default" w:ascii="Times New Roman" w:hAnsi="Times New Roman" w:cs="Times New Roman"/>
          <w:color w:val="0000FF"/>
          <w:highlight w:val="none"/>
        </w:rPr>
        <w:t>，</w:t>
      </w:r>
      <w:r>
        <w:rPr>
          <w:rFonts w:hint="default" w:ascii="Times New Roman" w:hAnsi="Times New Roman" w:cs="Times New Roman"/>
          <w:color w:val="auto"/>
          <w:highlight w:val="none"/>
        </w:rPr>
        <w:t>占村域总面积的</w:t>
      </w:r>
      <w:r>
        <w:rPr>
          <w:rFonts w:hint="default" w:ascii="Times New Roman" w:hAnsi="Times New Roman" w:cs="Times New Roman"/>
          <w:color w:val="auto"/>
          <w:highlight w:val="none"/>
          <w:lang w:val="en-US" w:eastAsia="zh-CN"/>
        </w:rPr>
        <w:t>0.26</w:t>
      </w:r>
      <w:r>
        <w:rPr>
          <w:rFonts w:hint="default" w:ascii="Times New Roman" w:hAnsi="Times New Roman" w:cs="Times New Roman"/>
          <w:color w:val="auto"/>
          <w:highlight w:val="none"/>
        </w:rPr>
        <w:t>%，主要分布在村域中部偏</w:t>
      </w:r>
      <w:r>
        <w:rPr>
          <w:rFonts w:hint="default" w:ascii="Times New Roman" w:hAnsi="Times New Roman" w:cs="Times New Roman"/>
          <w:color w:val="auto"/>
          <w:highlight w:val="none"/>
          <w:lang w:val="en-US" w:eastAsia="zh-CN"/>
        </w:rPr>
        <w:t>东</w:t>
      </w:r>
      <w:r>
        <w:rPr>
          <w:rFonts w:hint="default" w:ascii="Times New Roman" w:hAnsi="Times New Roman" w:cs="Times New Roman"/>
          <w:color w:val="auto"/>
          <w:highlight w:val="none"/>
        </w:rPr>
        <w:t>区域。</w:t>
      </w:r>
      <w:r>
        <w:rPr>
          <w:rFonts w:hint="default" w:ascii="Times New Roman" w:hAnsi="Times New Roman" w:cs="Times New Roman"/>
          <w:color w:val="auto"/>
          <w:highlight w:val="none"/>
          <w:lang w:val="en-US" w:eastAsia="zh-CN"/>
        </w:rPr>
        <w:t>两村</w:t>
      </w:r>
      <w:r>
        <w:rPr>
          <w:rFonts w:hint="default" w:ascii="Times New Roman" w:hAnsi="Times New Roman" w:cs="Times New Roman"/>
          <w:color w:val="auto"/>
          <w:highlight w:val="none"/>
        </w:rPr>
        <w:t>边界</w:t>
      </w:r>
      <w:r>
        <w:rPr>
          <w:rFonts w:hint="default" w:ascii="Times New Roman" w:hAnsi="Times New Roman" w:cs="Times New Roman"/>
          <w:color w:val="auto"/>
          <w:highlight w:val="none"/>
          <w:lang w:val="en-US" w:eastAsia="zh-CN"/>
        </w:rPr>
        <w:t>均</w:t>
      </w:r>
      <w:r>
        <w:rPr>
          <w:rFonts w:hint="default" w:ascii="Times New Roman" w:hAnsi="Times New Roman" w:cs="Times New Roman"/>
          <w:color w:val="auto"/>
          <w:highlight w:val="none"/>
        </w:rPr>
        <w:t>是规划期内可以进行村庄开发建设及需要重点管控的国土空间范围，是规划相对集中的农村居民点建设用地以及因村庄建设和发展需要必须实行规划控制的区域</w:t>
      </w:r>
      <w:r>
        <w:rPr>
          <w:rFonts w:hint="default" w:ascii="Times New Roman" w:hAnsi="Times New Roman" w:cs="Times New Roman"/>
          <w:color w:val="auto"/>
          <w:highlight w:val="none"/>
          <w:lang w:eastAsia="zh-CN"/>
        </w:rPr>
        <w:t>。</w:t>
      </w:r>
    </w:p>
    <w:p w14:paraId="34179D59">
      <w:pPr>
        <w:pStyle w:val="4"/>
        <w:numPr>
          <w:ilvl w:val="0"/>
          <w:numId w:val="0"/>
        </w:numPr>
        <w:spacing w:before="204" w:after="81"/>
        <w:ind w:left="0" w:leftChars="0" w:firstLine="0" w:firstLineChars="0"/>
        <w:rPr>
          <w:rFonts w:hint="eastAsia" w:ascii="Times New Roman" w:hAnsi="Times New Roman" w:cs="Times New Roman"/>
        </w:rPr>
      </w:pPr>
      <w:bookmarkStart w:id="124" w:name="_Toc7338"/>
      <w:r>
        <w:rPr>
          <w:rFonts w:hint="eastAsia" w:ascii="Times New Roman" w:hAnsi="Times New Roman" w:eastAsia="仿宋_GB2312" w:cs="Times New Roman"/>
          <w:b/>
          <w:bCs/>
          <w:kern w:val="2"/>
          <w:sz w:val="32"/>
          <w:szCs w:val="32"/>
          <w:lang w:val="en-US" w:eastAsia="zh-CN" w:bidi="ar-SA"/>
        </w:rPr>
        <w:t>第</w:t>
      </w:r>
      <w:r>
        <w:rPr>
          <w:rFonts w:hint="eastAsia" w:ascii="Times New Roman" w:hAnsi="Times New Roman" w:cs="Times New Roman"/>
          <w:b/>
          <w:bCs/>
          <w:kern w:val="2"/>
          <w:sz w:val="32"/>
          <w:szCs w:val="32"/>
          <w:lang w:val="en-US" w:eastAsia="zh-CN" w:bidi="ar-SA"/>
        </w:rPr>
        <w:t>三</w:t>
      </w:r>
      <w:r>
        <w:rPr>
          <w:rFonts w:hint="eastAsia" w:ascii="Times New Roman" w:hAnsi="Times New Roman" w:eastAsia="仿宋_GB2312" w:cs="Times New Roman"/>
          <w:b/>
          <w:bCs/>
          <w:kern w:val="2"/>
          <w:sz w:val="32"/>
          <w:szCs w:val="32"/>
          <w:lang w:val="en-US" w:eastAsia="zh-CN" w:bidi="ar-SA"/>
        </w:rPr>
        <w:t>节</w:t>
      </w:r>
      <w:r>
        <w:rPr>
          <w:rFonts w:hint="eastAsia" w:ascii="Times New Roman" w:hAnsi="Times New Roman" w:cs="Times New Roman"/>
          <w:lang w:val="en-US" w:eastAsia="zh-CN"/>
        </w:rPr>
        <w:t xml:space="preserve"> </w:t>
      </w:r>
      <w:r>
        <w:rPr>
          <w:rFonts w:hint="eastAsia" w:ascii="Times New Roman" w:hAnsi="Times New Roman" w:cs="Times New Roman"/>
        </w:rPr>
        <w:t>公共服务和基础设施指引</w:t>
      </w:r>
      <w:bookmarkEnd w:id="124"/>
    </w:p>
    <w:p w14:paraId="084472A7">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b/>
          <w:bCs/>
          <w:kern w:val="2"/>
          <w:sz w:val="30"/>
          <w:szCs w:val="30"/>
          <w:lang w:val="en-US" w:eastAsia="zh-CN" w:bidi="ar-SA"/>
        </w:rPr>
      </w:pPr>
      <w:r>
        <w:rPr>
          <w:rFonts w:hint="eastAsia" w:ascii="仿宋_GB2312" w:hAnsi="仿宋" w:cs="Times New Roman"/>
          <w:b/>
          <w:bCs/>
          <w:kern w:val="2"/>
          <w:sz w:val="30"/>
          <w:szCs w:val="30"/>
          <w:lang w:val="en-US" w:eastAsia="zh-CN" w:bidi="ar-SA"/>
        </w:rPr>
        <w:fldChar w:fldCharType="begin"/>
      </w:r>
      <w:r>
        <w:rPr>
          <w:rFonts w:hint="eastAsia" w:ascii="仿宋_GB2312" w:hAnsi="仿宋" w:cs="Times New Roman"/>
          <w:b/>
          <w:bCs/>
          <w:kern w:val="2"/>
          <w:sz w:val="30"/>
          <w:szCs w:val="30"/>
          <w:lang w:val="en-US" w:eastAsia="zh-CN" w:bidi="ar-SA"/>
        </w:rPr>
        <w:instrText xml:space="preserve"> HYPERLINK \l "_Toc184820274" </w:instrText>
      </w:r>
      <w:r>
        <w:rPr>
          <w:rFonts w:hint="eastAsia" w:ascii="仿宋_GB2312" w:hAnsi="仿宋" w:cs="Times New Roman"/>
          <w:b/>
          <w:bCs/>
          <w:kern w:val="2"/>
          <w:sz w:val="30"/>
          <w:szCs w:val="30"/>
          <w:lang w:val="en-US" w:eastAsia="zh-CN" w:bidi="ar-SA"/>
        </w:rPr>
        <w:fldChar w:fldCharType="separate"/>
      </w:r>
      <w:r>
        <w:rPr>
          <w:rFonts w:hint="eastAsia" w:ascii="仿宋_GB2312" w:hAnsi="仿宋" w:cs="Times New Roman"/>
          <w:b/>
          <w:bCs/>
          <w:kern w:val="2"/>
          <w:sz w:val="30"/>
          <w:szCs w:val="30"/>
          <w:lang w:val="en-US" w:eastAsia="zh-CN" w:bidi="ar-SA"/>
        </w:rPr>
        <w:t>一、公共服务设施布局</w:t>
      </w:r>
      <w:r>
        <w:rPr>
          <w:rFonts w:hint="eastAsia" w:ascii="仿宋_GB2312" w:hAnsi="仿宋" w:cs="Times New Roman"/>
          <w:b/>
          <w:bCs/>
          <w:kern w:val="2"/>
          <w:sz w:val="30"/>
          <w:szCs w:val="30"/>
          <w:lang w:val="en-US" w:eastAsia="zh-CN" w:bidi="ar-SA"/>
        </w:rPr>
        <w:fldChar w:fldCharType="end"/>
      </w:r>
    </w:p>
    <w:p w14:paraId="2760C7F5">
      <w:pPr>
        <w:rPr>
          <w:rFonts w:hint="eastAsia" w:eastAsia="仿宋_GB2312"/>
          <w:lang w:val="en-US" w:eastAsia="zh-CN"/>
        </w:rPr>
      </w:pPr>
      <w:r>
        <w:rPr>
          <w:rFonts w:hint="eastAsia"/>
          <w:color w:val="auto"/>
        </w:rPr>
        <w:t>公共服务设施采用集中和分散相结合的方式布局，考虑服务半径，尽可能</w:t>
      </w:r>
      <w:r>
        <w:rPr>
          <w:rFonts w:hint="eastAsia"/>
          <w:color w:val="auto"/>
          <w:lang w:eastAsia="zh-CN"/>
        </w:rPr>
        <w:t>地</w:t>
      </w:r>
      <w:r>
        <w:rPr>
          <w:rFonts w:hint="eastAsia"/>
          <w:color w:val="auto"/>
        </w:rPr>
        <w:t>集中布置。保留村委会及相关附属设施</w:t>
      </w:r>
      <w:r>
        <w:rPr>
          <w:rFonts w:hint="eastAsia"/>
          <w:color w:val="auto"/>
          <w:lang w:eastAsia="zh-CN"/>
        </w:rPr>
        <w:t>。</w:t>
      </w:r>
    </w:p>
    <w:p w14:paraId="44EF366D">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b/>
          <w:bCs/>
          <w:kern w:val="2"/>
          <w:sz w:val="30"/>
          <w:szCs w:val="30"/>
          <w:lang w:val="en-US" w:eastAsia="zh-CN" w:bidi="ar-SA"/>
        </w:rPr>
      </w:pPr>
      <w:r>
        <w:rPr>
          <w:rFonts w:hint="eastAsia" w:ascii="仿宋_GB2312" w:hAnsi="仿宋" w:cs="Times New Roman"/>
          <w:b/>
          <w:bCs/>
          <w:kern w:val="2"/>
          <w:sz w:val="30"/>
          <w:szCs w:val="30"/>
          <w:lang w:val="en-US" w:eastAsia="zh-CN" w:bidi="ar-SA"/>
        </w:rPr>
        <w:fldChar w:fldCharType="begin"/>
      </w:r>
      <w:r>
        <w:rPr>
          <w:rFonts w:hint="eastAsia" w:ascii="仿宋_GB2312" w:hAnsi="仿宋" w:cs="Times New Roman"/>
          <w:b/>
          <w:bCs/>
          <w:kern w:val="2"/>
          <w:sz w:val="30"/>
          <w:szCs w:val="30"/>
          <w:lang w:val="en-US" w:eastAsia="zh-CN" w:bidi="ar-SA"/>
        </w:rPr>
        <w:instrText xml:space="preserve"> HYPERLINK \l "_Toc184820275" </w:instrText>
      </w:r>
      <w:r>
        <w:rPr>
          <w:rFonts w:hint="eastAsia" w:ascii="仿宋_GB2312" w:hAnsi="仿宋" w:cs="Times New Roman"/>
          <w:b/>
          <w:bCs/>
          <w:kern w:val="2"/>
          <w:sz w:val="30"/>
          <w:szCs w:val="30"/>
          <w:lang w:val="en-US" w:eastAsia="zh-CN" w:bidi="ar-SA"/>
        </w:rPr>
        <w:fldChar w:fldCharType="separate"/>
      </w:r>
      <w:r>
        <w:rPr>
          <w:rFonts w:hint="eastAsia" w:ascii="仿宋_GB2312" w:hAnsi="仿宋" w:cs="Times New Roman"/>
          <w:b/>
          <w:bCs/>
          <w:kern w:val="2"/>
          <w:sz w:val="30"/>
          <w:szCs w:val="30"/>
          <w:lang w:val="en-US" w:eastAsia="zh-CN" w:bidi="ar-SA"/>
        </w:rPr>
        <w:t>二、道路交通</w:t>
      </w:r>
      <w:r>
        <w:rPr>
          <w:rFonts w:hint="eastAsia" w:ascii="仿宋_GB2312" w:hAnsi="仿宋" w:cs="Times New Roman"/>
          <w:b/>
          <w:bCs/>
          <w:kern w:val="2"/>
          <w:sz w:val="30"/>
          <w:szCs w:val="30"/>
          <w:lang w:val="en-US" w:eastAsia="zh-CN" w:bidi="ar-SA"/>
        </w:rPr>
        <w:fldChar w:fldCharType="end"/>
      </w:r>
    </w:p>
    <w:p w14:paraId="610E046C">
      <w:r>
        <w:rPr>
          <w:rFonts w:hint="eastAsia"/>
        </w:rPr>
        <w:t>落实县域、镇域道路交通布局安排，与过境国道、县乡道充分衔接，合理布局村域道路交通布局。</w:t>
      </w:r>
    </w:p>
    <w:p w14:paraId="3A5F045B">
      <w:pPr>
        <w:pStyle w:val="5"/>
        <w:tabs>
          <w:tab w:val="left" w:pos="420"/>
        </w:tabs>
        <w:rPr>
          <w:rFonts w:hint="default" w:eastAsia="仿宋_GB2312"/>
          <w:lang w:val="en-US" w:eastAsia="zh-CN"/>
        </w:rPr>
      </w:pPr>
      <w:r>
        <w:rPr>
          <w:rFonts w:hint="eastAsia"/>
        </w:rPr>
        <w:t>（一）对外交通</w:t>
      </w:r>
    </w:p>
    <w:p w14:paraId="30FF4CDF">
      <w:pPr>
        <w:rPr>
          <w:rFonts w:hint="default" w:ascii="Times New Roman" w:hAnsi="Times New Roman" w:cs="Times New Roman"/>
          <w:color w:val="auto"/>
        </w:rPr>
      </w:pPr>
      <w:r>
        <w:rPr>
          <w:rFonts w:hint="default" w:ascii="Times New Roman" w:hAnsi="Times New Roman" w:cs="Times New Roman"/>
          <w:color w:val="auto"/>
        </w:rPr>
        <w:t>落实</w:t>
      </w:r>
      <w:r>
        <w:rPr>
          <w:rFonts w:hint="default" w:ascii="Times New Roman" w:hAnsi="Times New Roman" w:cs="Times New Roman"/>
          <w:color w:val="auto"/>
          <w:lang w:val="en-US" w:eastAsia="zh-CN"/>
        </w:rPr>
        <w:t>省道S219</w:t>
      </w:r>
      <w:r>
        <w:rPr>
          <w:rFonts w:hint="default" w:ascii="Times New Roman" w:hAnsi="Times New Roman" w:cs="Times New Roman"/>
          <w:color w:val="auto"/>
        </w:rPr>
        <w:t>相关要求。</w:t>
      </w:r>
    </w:p>
    <w:p w14:paraId="427C9EFE">
      <w:pPr>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红花铺村</w:t>
      </w:r>
      <w:r>
        <w:rPr>
          <w:rFonts w:hint="default" w:ascii="Times New Roman" w:hAnsi="Times New Roman" w:cs="Times New Roman"/>
          <w:color w:val="auto"/>
        </w:rPr>
        <w:t>对外交通主要为</w:t>
      </w:r>
      <w:r>
        <w:rPr>
          <w:rFonts w:hint="default" w:ascii="Times New Roman" w:hAnsi="Times New Roman" w:cs="Times New Roman"/>
          <w:color w:val="auto"/>
          <w:lang w:val="en-US" w:eastAsia="zh-CN"/>
        </w:rPr>
        <w:t>省道S219</w:t>
      </w:r>
      <w:r>
        <w:rPr>
          <w:rFonts w:hint="default" w:ascii="Times New Roman" w:hAnsi="Times New Roman" w:cs="Times New Roman"/>
          <w:color w:val="auto"/>
        </w:rPr>
        <w:t>。</w:t>
      </w:r>
      <w:r>
        <w:rPr>
          <w:rFonts w:hint="default" w:ascii="Times New Roman" w:hAnsi="Times New Roman" w:cs="Times New Roman"/>
          <w:color w:val="auto"/>
          <w:lang w:val="en-US" w:eastAsia="zh-CN"/>
        </w:rPr>
        <w:t>省道S219</w:t>
      </w:r>
      <w:r>
        <w:rPr>
          <w:rFonts w:hint="default" w:ascii="Times New Roman" w:hAnsi="Times New Roman" w:cs="Times New Roman"/>
          <w:color w:val="auto"/>
        </w:rPr>
        <w:t>从村域</w:t>
      </w:r>
      <w:r>
        <w:rPr>
          <w:rFonts w:hint="default" w:ascii="Times New Roman" w:hAnsi="Times New Roman" w:cs="Times New Roman"/>
          <w:color w:val="auto"/>
          <w:lang w:val="en-US" w:eastAsia="zh-CN"/>
        </w:rPr>
        <w:t>东</w:t>
      </w:r>
      <w:r>
        <w:rPr>
          <w:rFonts w:hint="default" w:ascii="Times New Roman" w:hAnsi="Times New Roman" w:cs="Times New Roman"/>
          <w:color w:val="auto"/>
        </w:rPr>
        <w:t>北部穿村而过，往北可至</w:t>
      </w:r>
      <w:r>
        <w:rPr>
          <w:rFonts w:hint="default" w:ascii="Times New Roman" w:hAnsi="Times New Roman" w:cs="Times New Roman"/>
          <w:color w:val="auto"/>
          <w:lang w:val="en-US" w:eastAsia="zh-CN"/>
        </w:rPr>
        <w:t>黄牛铺镇</w:t>
      </w:r>
      <w:r>
        <w:rPr>
          <w:rFonts w:hint="default" w:ascii="Times New Roman" w:hAnsi="Times New Roman" w:cs="Times New Roman"/>
          <w:color w:val="auto"/>
        </w:rPr>
        <w:t>、往西</w:t>
      </w:r>
      <w:r>
        <w:rPr>
          <w:rFonts w:hint="default" w:ascii="Times New Roman" w:hAnsi="Times New Roman" w:cs="Times New Roman"/>
          <w:color w:val="auto"/>
          <w:lang w:val="en-US" w:eastAsia="zh-CN"/>
        </w:rPr>
        <w:t>凤州镇</w:t>
      </w:r>
      <w:r>
        <w:rPr>
          <w:rFonts w:hint="default" w:ascii="Times New Roman" w:hAnsi="Times New Roman" w:cs="Times New Roman"/>
          <w:color w:val="auto"/>
        </w:rPr>
        <w:t>。</w:t>
      </w:r>
      <w:r>
        <w:rPr>
          <w:rFonts w:hint="default" w:ascii="Times New Roman" w:hAnsi="Times New Roman" w:cs="Times New Roman"/>
          <w:color w:val="auto"/>
          <w:lang w:val="en-US" w:eastAsia="zh-CN"/>
        </w:rPr>
        <w:t xml:space="preserve">  </w:t>
      </w:r>
    </w:p>
    <w:p w14:paraId="5DF1D7A9">
      <w:pPr>
        <w:rPr>
          <w:rFonts w:hint="default" w:ascii="Times New Roman" w:hAnsi="Times New Roman" w:cs="Times New Roman"/>
          <w:color w:val="auto"/>
        </w:rPr>
      </w:pPr>
      <w:r>
        <w:rPr>
          <w:rFonts w:hint="default" w:ascii="Times New Roman" w:hAnsi="Times New Roman" w:cs="Times New Roman"/>
          <w:color w:val="auto"/>
          <w:lang w:eastAsia="zh-CN"/>
        </w:rPr>
        <w:t>白家店村</w:t>
      </w:r>
      <w:r>
        <w:rPr>
          <w:rFonts w:hint="default" w:ascii="Times New Roman" w:hAnsi="Times New Roman" w:cs="Times New Roman"/>
          <w:color w:val="auto"/>
        </w:rPr>
        <w:t>对外交通主要为</w:t>
      </w:r>
      <w:r>
        <w:rPr>
          <w:rFonts w:hint="default" w:ascii="Times New Roman" w:hAnsi="Times New Roman" w:cs="Times New Roman"/>
          <w:color w:val="auto"/>
          <w:lang w:val="en-US" w:eastAsia="zh-CN"/>
        </w:rPr>
        <w:t>省道S219</w:t>
      </w:r>
      <w:r>
        <w:rPr>
          <w:rFonts w:hint="default" w:ascii="Times New Roman" w:hAnsi="Times New Roman" w:cs="Times New Roman"/>
          <w:color w:val="auto"/>
        </w:rPr>
        <w:t>。</w:t>
      </w:r>
      <w:r>
        <w:rPr>
          <w:rFonts w:hint="default" w:ascii="Times New Roman" w:hAnsi="Times New Roman" w:cs="Times New Roman"/>
          <w:color w:val="auto"/>
          <w:lang w:val="en-US" w:eastAsia="zh-CN"/>
        </w:rPr>
        <w:t>省道S219</w:t>
      </w:r>
      <w:r>
        <w:rPr>
          <w:rFonts w:hint="default" w:ascii="Times New Roman" w:hAnsi="Times New Roman" w:cs="Times New Roman"/>
          <w:color w:val="auto"/>
        </w:rPr>
        <w:t>从村域</w:t>
      </w:r>
      <w:r>
        <w:rPr>
          <w:rFonts w:hint="default" w:ascii="Times New Roman" w:hAnsi="Times New Roman" w:cs="Times New Roman"/>
          <w:color w:val="auto"/>
          <w:lang w:val="en-US" w:eastAsia="zh-CN"/>
        </w:rPr>
        <w:t>东</w:t>
      </w:r>
      <w:r>
        <w:rPr>
          <w:rFonts w:hint="default" w:ascii="Times New Roman" w:hAnsi="Times New Roman" w:cs="Times New Roman"/>
          <w:color w:val="auto"/>
        </w:rPr>
        <w:t>北部穿村而过，往北可至</w:t>
      </w:r>
      <w:r>
        <w:rPr>
          <w:rFonts w:hint="default" w:ascii="Times New Roman" w:hAnsi="Times New Roman" w:cs="Times New Roman"/>
          <w:color w:val="auto"/>
          <w:lang w:val="en-US" w:eastAsia="zh-CN"/>
        </w:rPr>
        <w:t>黄牛铺镇</w:t>
      </w:r>
      <w:r>
        <w:rPr>
          <w:rFonts w:hint="default" w:ascii="Times New Roman" w:hAnsi="Times New Roman" w:cs="Times New Roman"/>
          <w:color w:val="auto"/>
        </w:rPr>
        <w:t>、往西可至</w:t>
      </w:r>
      <w:r>
        <w:rPr>
          <w:rFonts w:hint="default" w:ascii="Times New Roman" w:hAnsi="Times New Roman" w:cs="Times New Roman"/>
          <w:color w:val="auto"/>
          <w:lang w:val="en-US" w:eastAsia="zh-CN"/>
        </w:rPr>
        <w:t>凤州镇。</w:t>
      </w:r>
    </w:p>
    <w:p w14:paraId="1C760A87">
      <w:pPr>
        <w:pStyle w:val="5"/>
        <w:tabs>
          <w:tab w:val="left" w:pos="420"/>
        </w:tabs>
      </w:pPr>
      <w:r>
        <w:rPr>
          <w:rFonts w:hint="eastAsia"/>
        </w:rPr>
        <w:t>（</w:t>
      </w:r>
      <w:r>
        <w:rPr>
          <w:rFonts w:hint="eastAsia"/>
          <w:lang w:val="en-US" w:eastAsia="zh-CN"/>
        </w:rPr>
        <w:t>二</w:t>
      </w:r>
      <w:r>
        <w:rPr>
          <w:rFonts w:hint="eastAsia"/>
        </w:rPr>
        <w:t>）停车设施布局</w:t>
      </w:r>
    </w:p>
    <w:p w14:paraId="0F8B592D">
      <w:r>
        <w:rPr>
          <w:rFonts w:hint="eastAsia"/>
        </w:rPr>
        <w:t>规划不单独设立独立占地停车场，村庄停车可结合村内闲置地、广场、宅间空地等停车。</w:t>
      </w:r>
    </w:p>
    <w:p w14:paraId="01D5A5E5">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b/>
          <w:bCs/>
          <w:kern w:val="2"/>
          <w:sz w:val="30"/>
          <w:szCs w:val="30"/>
          <w:lang w:val="en-US" w:eastAsia="zh-CN" w:bidi="ar-SA"/>
        </w:rPr>
      </w:pPr>
      <w:r>
        <w:rPr>
          <w:rFonts w:hint="eastAsia" w:ascii="仿宋_GB2312" w:hAnsi="仿宋" w:cs="Times New Roman"/>
          <w:b/>
          <w:bCs/>
          <w:kern w:val="2"/>
          <w:sz w:val="30"/>
          <w:szCs w:val="30"/>
          <w:lang w:val="en-US" w:eastAsia="zh-CN" w:bidi="ar-SA"/>
        </w:rPr>
        <w:fldChar w:fldCharType="begin"/>
      </w:r>
      <w:r>
        <w:rPr>
          <w:rFonts w:hint="eastAsia" w:ascii="仿宋_GB2312" w:hAnsi="仿宋" w:cs="Times New Roman"/>
          <w:b/>
          <w:bCs/>
          <w:kern w:val="2"/>
          <w:sz w:val="30"/>
          <w:szCs w:val="30"/>
          <w:lang w:val="en-US" w:eastAsia="zh-CN" w:bidi="ar-SA"/>
        </w:rPr>
        <w:instrText xml:space="preserve"> HYPERLINK \l "_Toc184820276" </w:instrText>
      </w:r>
      <w:r>
        <w:rPr>
          <w:rFonts w:hint="eastAsia" w:ascii="仿宋_GB2312" w:hAnsi="仿宋" w:cs="Times New Roman"/>
          <w:b/>
          <w:bCs/>
          <w:kern w:val="2"/>
          <w:sz w:val="30"/>
          <w:szCs w:val="30"/>
          <w:lang w:val="en-US" w:eastAsia="zh-CN" w:bidi="ar-SA"/>
        </w:rPr>
        <w:fldChar w:fldCharType="separate"/>
      </w:r>
      <w:r>
        <w:rPr>
          <w:rFonts w:hint="eastAsia" w:ascii="仿宋_GB2312" w:hAnsi="仿宋" w:cs="Times New Roman"/>
          <w:b/>
          <w:bCs/>
          <w:kern w:val="2"/>
          <w:sz w:val="30"/>
          <w:szCs w:val="30"/>
          <w:lang w:val="en-US" w:eastAsia="zh-CN" w:bidi="ar-SA"/>
        </w:rPr>
        <w:t>三、给排水工程</w:t>
      </w:r>
      <w:r>
        <w:rPr>
          <w:rFonts w:hint="eastAsia" w:ascii="仿宋_GB2312" w:hAnsi="仿宋" w:cs="Times New Roman"/>
          <w:b/>
          <w:bCs/>
          <w:kern w:val="2"/>
          <w:sz w:val="30"/>
          <w:szCs w:val="30"/>
          <w:lang w:val="en-US" w:eastAsia="zh-CN" w:bidi="ar-SA"/>
        </w:rPr>
        <w:fldChar w:fldCharType="end"/>
      </w:r>
    </w:p>
    <w:p w14:paraId="67D86BEB">
      <w:pPr>
        <w:pStyle w:val="5"/>
        <w:tabs>
          <w:tab w:val="left" w:pos="420"/>
        </w:tabs>
      </w:pPr>
      <w:r>
        <w:rPr>
          <w:rFonts w:hint="eastAsia"/>
        </w:rPr>
        <w:t>（一）给水</w:t>
      </w:r>
    </w:p>
    <w:p w14:paraId="7A976872">
      <w:pPr>
        <w:outlineLvl w:val="3"/>
        <w:rPr>
          <w:rFonts w:hint="default" w:eastAsia="仿宋_GB2312"/>
          <w:color w:val="auto"/>
          <w:lang w:val="en-US" w:eastAsia="zh-CN"/>
        </w:rPr>
      </w:pPr>
      <w:r>
        <w:rPr>
          <w:rFonts w:hint="eastAsia"/>
          <w:color w:val="auto"/>
          <w:lang w:val="en-US" w:eastAsia="zh-CN"/>
        </w:rPr>
        <w:t>1、红花铺村</w:t>
      </w:r>
    </w:p>
    <w:p w14:paraId="585C5077">
      <w:pPr>
        <w:rPr>
          <w:color w:val="auto"/>
        </w:rPr>
      </w:pPr>
      <w:r>
        <w:rPr>
          <w:rFonts w:hint="eastAsia"/>
          <w:color w:val="auto"/>
        </w:rPr>
        <w:t>供水水源：</w:t>
      </w:r>
      <w:r>
        <w:rPr>
          <w:rFonts w:hint="eastAsia"/>
          <w:color w:val="auto"/>
          <w:lang w:eastAsia="zh-CN"/>
        </w:rPr>
        <w:t>红花铺村靠近镇区区域接镇区市政水网，远离镇区居民点</w:t>
      </w:r>
      <w:r>
        <w:rPr>
          <w:rFonts w:hint="eastAsia" w:eastAsia="仿宋_GB2312" w:asciiTheme="minorHAnsi" w:hAnsiTheme="minorHAnsi" w:cstheme="minorBidi"/>
          <w:color w:val="auto"/>
          <w:kern w:val="2"/>
          <w:sz w:val="30"/>
          <w:szCs w:val="22"/>
          <w:lang w:val="en-US" w:eastAsia="zh-CN" w:bidi="ar-SA"/>
        </w:rPr>
        <w:t>继续沿用现有供水工程</w:t>
      </w:r>
      <w:r>
        <w:rPr>
          <w:rFonts w:hint="eastAsia"/>
          <w:color w:val="auto"/>
        </w:rPr>
        <w:t>。</w:t>
      </w:r>
    </w:p>
    <w:p w14:paraId="438F1139">
      <w:pPr>
        <w:rPr>
          <w:rFonts w:hint="eastAsia"/>
          <w:color w:val="auto"/>
        </w:rPr>
      </w:pPr>
      <w:r>
        <w:rPr>
          <w:rFonts w:hint="eastAsia"/>
          <w:color w:val="auto"/>
        </w:rPr>
        <w:t>供水方式：通过供水管网送至各用户。</w:t>
      </w:r>
    </w:p>
    <w:p w14:paraId="142B3531">
      <w:pPr>
        <w:outlineLvl w:val="3"/>
        <w:rPr>
          <w:rFonts w:hint="eastAsia"/>
          <w:color w:val="auto"/>
          <w:lang w:val="en-US" w:eastAsia="zh-CN"/>
        </w:rPr>
      </w:pPr>
      <w:r>
        <w:rPr>
          <w:rFonts w:hint="eastAsia"/>
          <w:color w:val="auto"/>
          <w:lang w:val="en-US" w:eastAsia="zh-CN"/>
        </w:rPr>
        <w:t>2、白家店村</w:t>
      </w:r>
    </w:p>
    <w:p w14:paraId="73842B96">
      <w:pPr>
        <w:rPr>
          <w:rFonts w:hint="eastAsia" w:eastAsia="仿宋_GB2312" w:asciiTheme="minorHAnsi" w:hAnsiTheme="minorHAnsi" w:cstheme="minorBidi"/>
          <w:color w:val="auto"/>
          <w:kern w:val="2"/>
          <w:sz w:val="30"/>
          <w:szCs w:val="22"/>
          <w:lang w:val="en-US" w:eastAsia="zh-CN" w:bidi="ar-SA"/>
        </w:rPr>
      </w:pPr>
      <w:r>
        <w:rPr>
          <w:rFonts w:hint="eastAsia"/>
          <w:color w:val="auto"/>
          <w:lang w:val="en-US" w:eastAsia="zh-CN"/>
        </w:rPr>
        <w:t>供水水源：白家店</w:t>
      </w:r>
      <w:r>
        <w:rPr>
          <w:rFonts w:hint="eastAsia" w:eastAsia="仿宋_GB2312" w:asciiTheme="minorHAnsi" w:hAnsiTheme="minorHAnsi" w:cstheme="minorBidi"/>
          <w:color w:val="auto"/>
          <w:kern w:val="2"/>
          <w:sz w:val="30"/>
          <w:szCs w:val="22"/>
          <w:lang w:val="en-US" w:eastAsia="zh-CN" w:bidi="ar-SA"/>
        </w:rPr>
        <w:t>村继续沿用现有供水工程，水源来自地下水。</w:t>
      </w:r>
    </w:p>
    <w:p w14:paraId="1E93A18C">
      <w:pPr>
        <w:numPr>
          <w:ilvl w:val="0"/>
          <w:numId w:val="0"/>
        </w:numPr>
        <w:ind w:firstLine="600" w:firstLineChars="200"/>
        <w:rPr>
          <w:rFonts w:hint="default" w:eastAsia="仿宋_GB2312" w:asciiTheme="minorHAnsi" w:hAnsiTheme="minorHAnsi" w:cstheme="minorBidi"/>
          <w:color w:val="auto"/>
          <w:kern w:val="2"/>
          <w:sz w:val="30"/>
          <w:szCs w:val="22"/>
          <w:lang w:val="en-US" w:eastAsia="zh-CN" w:bidi="ar-SA"/>
        </w:rPr>
      </w:pPr>
      <w:r>
        <w:rPr>
          <w:rFonts w:hint="eastAsia" w:eastAsia="仿宋_GB2312" w:asciiTheme="minorHAnsi" w:hAnsiTheme="minorHAnsi" w:cstheme="minorBidi"/>
          <w:color w:val="auto"/>
          <w:kern w:val="2"/>
          <w:sz w:val="30"/>
          <w:szCs w:val="22"/>
          <w:lang w:val="en-US" w:eastAsia="zh-CN" w:bidi="ar-SA"/>
        </w:rPr>
        <w:t>供水方式：</w:t>
      </w:r>
      <w:r>
        <w:rPr>
          <w:rFonts w:hint="eastAsia"/>
          <w:color w:val="auto"/>
        </w:rPr>
        <w:t>通过供水管网送至各用户</w:t>
      </w:r>
      <w:r>
        <w:rPr>
          <w:rFonts w:hint="eastAsia" w:eastAsia="仿宋_GB2312" w:asciiTheme="minorHAnsi" w:hAnsiTheme="minorHAnsi" w:cstheme="minorBidi"/>
          <w:color w:val="auto"/>
          <w:kern w:val="2"/>
          <w:sz w:val="30"/>
          <w:szCs w:val="22"/>
          <w:lang w:val="en-US" w:eastAsia="zh-CN" w:bidi="ar-SA"/>
        </w:rPr>
        <w:t>。</w:t>
      </w:r>
    </w:p>
    <w:p w14:paraId="2786F5AA">
      <w:pPr>
        <w:pStyle w:val="5"/>
        <w:tabs>
          <w:tab w:val="left" w:pos="420"/>
        </w:tabs>
      </w:pPr>
      <w:r>
        <w:rPr>
          <w:rFonts w:hint="eastAsia"/>
        </w:rPr>
        <w:t>（二）排水</w:t>
      </w:r>
    </w:p>
    <w:p w14:paraId="0A557AD2">
      <w:pPr>
        <w:outlineLvl w:val="3"/>
        <w:rPr>
          <w:rFonts w:hint="default" w:eastAsia="仿宋_GB2312"/>
          <w:color w:val="auto"/>
          <w:lang w:val="en-US" w:eastAsia="zh-CN"/>
        </w:rPr>
      </w:pPr>
      <w:r>
        <w:rPr>
          <w:rFonts w:hint="eastAsia"/>
          <w:color w:val="auto"/>
          <w:lang w:val="en-US" w:eastAsia="zh-CN"/>
        </w:rPr>
        <w:t>1、红花铺村</w:t>
      </w:r>
    </w:p>
    <w:p w14:paraId="6BD6E9B5">
      <w:pPr>
        <w:rPr>
          <w:color w:val="auto"/>
        </w:rPr>
      </w:pPr>
      <w:r>
        <w:rPr>
          <w:rFonts w:hint="eastAsia"/>
          <w:color w:val="auto"/>
        </w:rPr>
        <w:t>排水体制：采用雨污分流制</w:t>
      </w:r>
    </w:p>
    <w:p w14:paraId="36241061">
      <w:pPr>
        <w:rPr>
          <w:color w:val="auto"/>
        </w:rPr>
      </w:pPr>
      <w:r>
        <w:rPr>
          <w:rFonts w:hint="eastAsia"/>
          <w:color w:val="auto"/>
        </w:rPr>
        <w:t>污水工程规划：</w:t>
      </w:r>
      <w:r>
        <w:rPr>
          <w:rFonts w:hint="eastAsia"/>
          <w:color w:val="auto"/>
          <w:lang w:eastAsia="zh-CN"/>
        </w:rPr>
        <w:t>红花铺村靠近镇区区域</w:t>
      </w:r>
      <w:r>
        <w:rPr>
          <w:rFonts w:hint="eastAsia"/>
          <w:color w:val="auto"/>
        </w:rPr>
        <w:t>接入镇区污水处理站处理</w:t>
      </w:r>
      <w:r>
        <w:rPr>
          <w:rFonts w:hint="eastAsia"/>
          <w:color w:val="auto"/>
          <w:lang w:eastAsia="zh-CN"/>
        </w:rPr>
        <w:t>，远离镇区的居民点较为集中的片区因地制宜修建污水一体化处理设施，其余较为分散的居民点及散户，建设小型就地污水处理设施</w:t>
      </w:r>
      <w:r>
        <w:rPr>
          <w:rFonts w:hint="eastAsia"/>
          <w:color w:val="auto"/>
        </w:rPr>
        <w:t>。</w:t>
      </w:r>
    </w:p>
    <w:p w14:paraId="7E674054">
      <w:pPr>
        <w:rPr>
          <w:rFonts w:hint="eastAsia"/>
          <w:color w:val="auto"/>
        </w:rPr>
      </w:pPr>
      <w:r>
        <w:rPr>
          <w:rFonts w:hint="eastAsia"/>
          <w:color w:val="auto"/>
        </w:rPr>
        <w:t>雨水工程规划：充分利用地形条件，结合村庄用地布局，沿道路设置暗渠，采用重力自流方式，雨水通过暗沟排至村域的农田内。</w:t>
      </w:r>
    </w:p>
    <w:p w14:paraId="5B80671C">
      <w:pPr>
        <w:outlineLvl w:val="3"/>
        <w:rPr>
          <w:rFonts w:hint="eastAsia"/>
          <w:color w:val="auto"/>
          <w:lang w:val="en-US" w:eastAsia="zh-CN"/>
        </w:rPr>
      </w:pPr>
      <w:r>
        <w:rPr>
          <w:rFonts w:hint="eastAsia"/>
          <w:color w:val="auto"/>
          <w:lang w:val="en-US" w:eastAsia="zh-CN"/>
        </w:rPr>
        <w:t>2、白家店村</w:t>
      </w:r>
    </w:p>
    <w:p w14:paraId="0257821D">
      <w:pPr>
        <w:rPr>
          <w:color w:val="auto"/>
        </w:rPr>
      </w:pPr>
      <w:r>
        <w:rPr>
          <w:rFonts w:hint="eastAsia"/>
          <w:color w:val="auto"/>
        </w:rPr>
        <w:t>排水体制：采用雨污</w:t>
      </w:r>
      <w:r>
        <w:rPr>
          <w:rFonts w:hint="eastAsia"/>
          <w:color w:val="auto"/>
          <w:lang w:val="en-US" w:eastAsia="zh-CN"/>
        </w:rPr>
        <w:t>合</w:t>
      </w:r>
      <w:r>
        <w:rPr>
          <w:rFonts w:hint="eastAsia"/>
          <w:color w:val="auto"/>
        </w:rPr>
        <w:t>流制</w:t>
      </w:r>
    </w:p>
    <w:p w14:paraId="1EEFF8A3">
      <w:pPr>
        <w:rPr>
          <w:color w:val="auto"/>
        </w:rPr>
      </w:pPr>
      <w:r>
        <w:rPr>
          <w:rFonts w:hint="eastAsia"/>
          <w:color w:val="auto"/>
        </w:rPr>
        <w:t>污水工程规划：</w:t>
      </w:r>
      <w:r>
        <w:rPr>
          <w:rFonts w:hint="eastAsia" w:ascii="仿宋_GB2312" w:hAnsi="仿宋_GB2312" w:eastAsia="仿宋_GB2312" w:cs="仿宋_GB2312"/>
          <w:b w:val="0"/>
          <w:bCs w:val="0"/>
          <w:color w:val="auto"/>
          <w:sz w:val="30"/>
          <w:szCs w:val="30"/>
          <w:highlight w:val="none"/>
          <w:lang w:val="en-US" w:eastAsia="zh-CN"/>
        </w:rPr>
        <w:t>结合实际情况因地制宜修建污水一体化处理设施</w:t>
      </w:r>
      <w:r>
        <w:rPr>
          <w:rFonts w:hint="eastAsia"/>
          <w:color w:val="auto"/>
        </w:rPr>
        <w:t>。</w:t>
      </w:r>
    </w:p>
    <w:p w14:paraId="041A024B">
      <w:pPr>
        <w:rPr>
          <w:color w:val="auto"/>
        </w:rPr>
      </w:pPr>
      <w:r>
        <w:rPr>
          <w:rFonts w:hint="eastAsia"/>
          <w:color w:val="auto"/>
        </w:rPr>
        <w:t>雨水工程规划：充分利用地形条件，结合村庄用地布局，沿道路设置暗渠，采用重力自流方式，雨水通过暗沟排至村域的农田内。</w:t>
      </w:r>
    </w:p>
    <w:p w14:paraId="215AD504">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b/>
          <w:bCs/>
          <w:kern w:val="2"/>
          <w:sz w:val="30"/>
          <w:szCs w:val="30"/>
          <w:lang w:val="en-US" w:eastAsia="zh-CN" w:bidi="ar-SA"/>
        </w:rPr>
      </w:pPr>
      <w:r>
        <w:rPr>
          <w:rFonts w:hint="eastAsia" w:ascii="仿宋_GB2312" w:hAnsi="仿宋" w:cs="Times New Roman"/>
          <w:b/>
          <w:bCs/>
          <w:kern w:val="2"/>
          <w:sz w:val="30"/>
          <w:szCs w:val="30"/>
          <w:lang w:val="en-US" w:eastAsia="zh-CN" w:bidi="ar-SA"/>
        </w:rPr>
        <w:fldChar w:fldCharType="begin"/>
      </w:r>
      <w:r>
        <w:rPr>
          <w:rFonts w:hint="eastAsia" w:ascii="仿宋_GB2312" w:hAnsi="仿宋" w:cs="Times New Roman"/>
          <w:b/>
          <w:bCs/>
          <w:kern w:val="2"/>
          <w:sz w:val="30"/>
          <w:szCs w:val="30"/>
          <w:lang w:val="en-US" w:eastAsia="zh-CN" w:bidi="ar-SA"/>
        </w:rPr>
        <w:instrText xml:space="preserve"> HYPERLINK \l "_Toc184820277" </w:instrText>
      </w:r>
      <w:r>
        <w:rPr>
          <w:rFonts w:hint="eastAsia" w:ascii="仿宋_GB2312" w:hAnsi="仿宋" w:cs="Times New Roman"/>
          <w:b/>
          <w:bCs/>
          <w:kern w:val="2"/>
          <w:sz w:val="30"/>
          <w:szCs w:val="30"/>
          <w:lang w:val="en-US" w:eastAsia="zh-CN" w:bidi="ar-SA"/>
        </w:rPr>
        <w:fldChar w:fldCharType="separate"/>
      </w:r>
      <w:r>
        <w:rPr>
          <w:rFonts w:hint="eastAsia" w:ascii="仿宋_GB2312" w:hAnsi="仿宋" w:cs="Times New Roman"/>
          <w:b/>
          <w:bCs/>
          <w:kern w:val="2"/>
          <w:sz w:val="30"/>
          <w:szCs w:val="30"/>
          <w:lang w:val="en-US" w:eastAsia="zh-CN" w:bidi="ar-SA"/>
        </w:rPr>
        <w:t>四、环境卫生设施</w:t>
      </w:r>
      <w:r>
        <w:rPr>
          <w:rFonts w:hint="eastAsia" w:ascii="仿宋_GB2312" w:hAnsi="仿宋" w:cs="Times New Roman"/>
          <w:b/>
          <w:bCs/>
          <w:kern w:val="2"/>
          <w:sz w:val="30"/>
          <w:szCs w:val="30"/>
          <w:lang w:val="en-US" w:eastAsia="zh-CN" w:bidi="ar-SA"/>
        </w:rPr>
        <w:fldChar w:fldCharType="end"/>
      </w:r>
    </w:p>
    <w:p w14:paraId="5167056E">
      <w:pPr>
        <w:rPr>
          <w:rFonts w:hint="default" w:ascii="Times New Roman" w:hAnsi="Times New Roman" w:cs="Times New Roman"/>
          <w:color w:val="auto"/>
        </w:rPr>
      </w:pPr>
      <w:r>
        <w:rPr>
          <w:rFonts w:hint="default" w:ascii="Times New Roman" w:hAnsi="Times New Roman" w:cs="Times New Roman"/>
          <w:color w:val="auto"/>
        </w:rPr>
        <w:t>收集点规划：居民点区域按照服务半径不超过100米设置垃圾分类箱。沿村庄干路和支路根据现状情况不超过200米设置垃圾分类箱。垃圾分类箱要与垃圾收集车相配套。</w:t>
      </w:r>
    </w:p>
    <w:p w14:paraId="6824F2D1">
      <w:r>
        <w:rPr>
          <w:rFonts w:hint="eastAsia"/>
          <w:color w:val="auto"/>
        </w:rPr>
        <w:t>收集与转运方式：由镇政府统一安排垃圾收集车，统一收集后，转运至生活垃圾处理厂。</w:t>
      </w:r>
    </w:p>
    <w:p w14:paraId="644BE355">
      <w:pPr>
        <w:pStyle w:val="4"/>
        <w:numPr>
          <w:ilvl w:val="0"/>
          <w:numId w:val="0"/>
        </w:numPr>
        <w:spacing w:before="204" w:after="81"/>
        <w:ind w:left="0" w:leftChars="0" w:firstLine="0" w:firstLineChars="0"/>
        <w:rPr>
          <w:rFonts w:hint="eastAsia" w:ascii="Times New Roman" w:hAnsi="Times New Roman" w:cs="Times New Roman"/>
        </w:rPr>
      </w:pPr>
      <w:bookmarkStart w:id="125" w:name="_Toc21379"/>
      <w:r>
        <w:rPr>
          <w:rFonts w:hint="eastAsia" w:ascii="Times New Roman" w:hAnsi="Times New Roman" w:eastAsia="仿宋_GB2312" w:cs="Times New Roman"/>
          <w:b/>
          <w:bCs/>
          <w:kern w:val="2"/>
          <w:sz w:val="32"/>
          <w:szCs w:val="32"/>
          <w:lang w:val="en-US" w:eastAsia="zh-CN" w:bidi="ar-SA"/>
        </w:rPr>
        <w:t>第</w:t>
      </w:r>
      <w:r>
        <w:rPr>
          <w:rFonts w:hint="eastAsia" w:ascii="Times New Roman" w:hAnsi="Times New Roman" w:cs="Times New Roman"/>
          <w:b/>
          <w:bCs/>
          <w:kern w:val="2"/>
          <w:sz w:val="32"/>
          <w:szCs w:val="32"/>
          <w:lang w:val="en-US" w:eastAsia="zh-CN" w:bidi="ar-SA"/>
        </w:rPr>
        <w:t>四</w:t>
      </w:r>
      <w:r>
        <w:rPr>
          <w:rFonts w:hint="eastAsia" w:ascii="Times New Roman" w:hAnsi="Times New Roman" w:eastAsia="仿宋_GB2312" w:cs="Times New Roman"/>
          <w:b/>
          <w:bCs/>
          <w:kern w:val="2"/>
          <w:sz w:val="32"/>
          <w:szCs w:val="32"/>
          <w:lang w:val="en-US" w:eastAsia="zh-CN" w:bidi="ar-SA"/>
        </w:rPr>
        <w:t>节</w:t>
      </w:r>
      <w:r>
        <w:rPr>
          <w:rFonts w:hint="eastAsia" w:ascii="Times New Roman" w:hAnsi="Times New Roman" w:cs="Times New Roman"/>
          <w:lang w:val="en-US" w:eastAsia="zh-CN"/>
        </w:rPr>
        <w:t xml:space="preserve"> </w:t>
      </w:r>
      <w:r>
        <w:rPr>
          <w:rFonts w:hint="eastAsia" w:ascii="Times New Roman" w:hAnsi="Times New Roman" w:cs="Times New Roman"/>
        </w:rPr>
        <w:t>村庄建筑风貌和人居环境整治指引</w:t>
      </w:r>
      <w:bookmarkEnd w:id="125"/>
    </w:p>
    <w:p w14:paraId="232B58C5">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b/>
          <w:bCs/>
          <w:kern w:val="2"/>
          <w:sz w:val="30"/>
          <w:szCs w:val="30"/>
          <w:lang w:val="en-US" w:eastAsia="zh-CN" w:bidi="ar-SA"/>
        </w:rPr>
      </w:pPr>
      <w:r>
        <w:rPr>
          <w:rFonts w:hint="eastAsia" w:ascii="仿宋_GB2312" w:hAnsi="仿宋" w:cs="Times New Roman"/>
          <w:b/>
          <w:bCs/>
          <w:kern w:val="2"/>
          <w:sz w:val="30"/>
          <w:szCs w:val="30"/>
          <w:lang w:val="en-US" w:eastAsia="zh-CN" w:bidi="ar-SA"/>
        </w:rPr>
        <w:t>一、建筑管控与风貌指引</w:t>
      </w:r>
    </w:p>
    <w:p w14:paraId="450456B2">
      <w:pPr>
        <w:rPr>
          <w:rFonts w:hint="default" w:ascii="Times New Roman" w:hAnsi="Times New Roman" w:cs="Times New Roman"/>
          <w:color w:val="0000FF"/>
        </w:rPr>
      </w:pPr>
      <w:r>
        <w:rPr>
          <w:rFonts w:hint="default" w:ascii="Times New Roman" w:hAnsi="Times New Roman" w:cs="Times New Roman"/>
          <w:color w:val="auto"/>
        </w:rPr>
        <w:t>新建农村独栋式、并联式或联排式自建住宅不得超过3层，建筑总高度</w:t>
      </w:r>
      <w:r>
        <w:rPr>
          <w:rFonts w:hint="eastAsia" w:ascii="Times New Roman" w:hAnsi="Times New Roman" w:cs="Times New Roman"/>
          <w:color w:val="auto"/>
          <w:lang w:eastAsia="zh-CN"/>
        </w:rPr>
        <w:t>（</w:t>
      </w:r>
      <w:r>
        <w:rPr>
          <w:rFonts w:hint="default" w:ascii="Times New Roman" w:hAnsi="Times New Roman" w:cs="Times New Roman"/>
          <w:color w:val="auto"/>
        </w:rPr>
        <w:t>含坡屋顶</w:t>
      </w:r>
      <w:r>
        <w:rPr>
          <w:rFonts w:hint="eastAsia" w:ascii="Times New Roman" w:hAnsi="Times New Roman" w:cs="Times New Roman"/>
          <w:color w:val="auto"/>
          <w:lang w:eastAsia="zh-CN"/>
        </w:rPr>
        <w:t>）</w:t>
      </w:r>
      <w:r>
        <w:rPr>
          <w:rFonts w:hint="default" w:ascii="Times New Roman" w:hAnsi="Times New Roman" w:cs="Times New Roman"/>
          <w:color w:val="auto"/>
        </w:rPr>
        <w:t>不超过</w:t>
      </w:r>
      <w:r>
        <w:rPr>
          <w:rFonts w:hint="default" w:ascii="Times New Roman" w:hAnsi="Times New Roman" w:cs="Times New Roman"/>
          <w:color w:val="auto"/>
          <w:lang w:val="en-US" w:eastAsia="zh-CN"/>
        </w:rPr>
        <w:t>10</w:t>
      </w:r>
      <w:r>
        <w:rPr>
          <w:rFonts w:hint="default" w:ascii="Times New Roman" w:hAnsi="Times New Roman" w:cs="Times New Roman"/>
          <w:color w:val="auto"/>
        </w:rPr>
        <w:t>米。建设方案应充分考虑地方特色及农村基层的生活特点，新建或改造建筑应尽可能采用倾斜的双坡顶设计。新建、翻建住宅应满足周边住宅的日照、防火等要求</w:t>
      </w:r>
      <w:r>
        <w:rPr>
          <w:rFonts w:hint="default" w:ascii="Times New Roman" w:hAnsi="Times New Roman" w:cs="Times New Roman"/>
          <w:color w:val="0000FF"/>
        </w:rPr>
        <w:t>。</w:t>
      </w:r>
    </w:p>
    <w:p w14:paraId="7D949EB8">
      <w:pPr>
        <w:pStyle w:val="5"/>
        <w:widowControl w:val="0"/>
        <w:numPr>
          <w:ilvl w:val="0"/>
          <w:numId w:val="0"/>
        </w:numPr>
        <w:tabs>
          <w:tab w:val="left" w:pos="420"/>
        </w:tabs>
        <w:spacing w:beforeAutospacing="1" w:line="240" w:lineRule="auto"/>
        <w:ind w:left="102" w:leftChars="0" w:firstLine="602" w:firstLineChars="200"/>
        <w:rPr>
          <w:rFonts w:hint="eastAsia" w:ascii="仿宋_GB2312" w:hAnsi="仿宋" w:cs="Times New Roman"/>
          <w:b/>
          <w:bCs/>
          <w:kern w:val="2"/>
          <w:sz w:val="30"/>
          <w:szCs w:val="30"/>
          <w:lang w:val="en-US" w:eastAsia="zh-CN" w:bidi="ar-SA"/>
        </w:rPr>
      </w:pPr>
      <w:r>
        <w:rPr>
          <w:rFonts w:hint="eastAsia" w:ascii="仿宋_GB2312" w:hAnsi="仿宋" w:cs="Times New Roman"/>
          <w:b/>
          <w:bCs/>
          <w:kern w:val="2"/>
          <w:sz w:val="30"/>
          <w:szCs w:val="30"/>
          <w:lang w:val="en-US" w:eastAsia="zh-CN" w:bidi="ar-SA"/>
        </w:rPr>
        <w:t>二</w:t>
      </w:r>
      <w:r>
        <w:rPr>
          <w:rFonts w:hint="eastAsia" w:ascii="仿宋_GB2312" w:hAnsi="仿宋" w:eastAsia="仿宋_GB2312" w:cs="Times New Roman"/>
          <w:b/>
          <w:bCs/>
          <w:kern w:val="2"/>
          <w:sz w:val="30"/>
          <w:szCs w:val="30"/>
          <w:lang w:val="en-US" w:eastAsia="zh-CN" w:bidi="ar-SA"/>
        </w:rPr>
        <w:t>、</w:t>
      </w:r>
      <w:r>
        <w:rPr>
          <w:rFonts w:hint="eastAsia" w:ascii="仿宋_GB2312" w:hAnsi="仿宋" w:cs="Times New Roman"/>
          <w:b/>
          <w:bCs/>
          <w:kern w:val="2"/>
          <w:sz w:val="30"/>
          <w:szCs w:val="30"/>
          <w:lang w:val="en-US" w:eastAsia="zh-CN" w:bidi="ar-SA"/>
        </w:rPr>
        <w:t>人居环境整治指引</w:t>
      </w:r>
    </w:p>
    <w:p w14:paraId="764EC3E5">
      <w:pPr>
        <w:outlineLvl w:val="3"/>
        <w:rPr>
          <w:rFonts w:hint="eastAsia"/>
        </w:rPr>
      </w:pPr>
      <w:r>
        <w:rPr>
          <w:rFonts w:hint="eastAsia"/>
        </w:rPr>
        <w:t>（一）基础设施整治</w:t>
      </w:r>
    </w:p>
    <w:p w14:paraId="17FA5F6E">
      <w:pPr>
        <w:rPr>
          <w:color w:val="auto"/>
        </w:rPr>
      </w:pPr>
      <w:r>
        <w:rPr>
          <w:rFonts w:hint="eastAsia"/>
          <w:color w:val="auto"/>
        </w:rPr>
        <w:t>村庄道路整治方面，主要包括清理路面杂物、硬化处理土路的方式进行整治。主干路、支路及宅前路依据使用强度采取不同的材料进行铺设。在宅前使用石材或墙砖砌筑花坛座椅，为邻里交流提供场地。</w:t>
      </w:r>
    </w:p>
    <w:p w14:paraId="4E28F524">
      <w:pPr>
        <w:rPr>
          <w:color w:val="auto"/>
        </w:rPr>
      </w:pPr>
      <w:r>
        <w:rPr>
          <w:rFonts w:hint="eastAsia"/>
          <w:color w:val="auto"/>
        </w:rPr>
        <w:t>农村垃圾整治方面，主要优化垃圾收集点分布不合理的问题。重点进行垃圾分类，对不同类型垃圾进行分类处理；以源头收集与积分制的形式，从源头引导垃圾分类。</w:t>
      </w:r>
    </w:p>
    <w:p w14:paraId="1A059D4D">
      <w:pPr>
        <w:rPr>
          <w:color w:val="auto"/>
        </w:rPr>
      </w:pPr>
      <w:r>
        <w:rPr>
          <w:rFonts w:hint="eastAsia"/>
          <w:color w:val="auto"/>
        </w:rPr>
        <w:t>农村厕所整治方面，引导村民将厕所建到住宅院落内部，推进村庄厕所改造，加强改厕与生活污水治理有效衔接，同时加强生态公厕的建设。</w:t>
      </w:r>
    </w:p>
    <w:p w14:paraId="51697F79">
      <w:pPr>
        <w:rPr>
          <w:color w:val="auto"/>
        </w:rPr>
      </w:pPr>
      <w:r>
        <w:rPr>
          <w:rFonts w:hint="eastAsia"/>
          <w:color w:val="auto"/>
        </w:rPr>
        <w:t>农村排水整治方面，重点清理路边明渠杂草树叶，预防排水渠堵塞。</w:t>
      </w:r>
    </w:p>
    <w:p w14:paraId="67FE6663">
      <w:pPr>
        <w:rPr>
          <w:color w:val="0000FF"/>
        </w:rPr>
      </w:pPr>
      <w:r>
        <w:rPr>
          <w:rFonts w:hint="eastAsia"/>
          <w:color w:val="auto"/>
        </w:rPr>
        <w:t>线缆整理方面需要结合村庄布局及未来发展情况，优化电力电路及通讯线路，优化调整线缆距离，使线缆系统整齐而有序。</w:t>
      </w:r>
    </w:p>
    <w:p w14:paraId="7BFF361E">
      <w:pPr>
        <w:outlineLvl w:val="3"/>
        <w:rPr>
          <w:color w:val="auto"/>
        </w:rPr>
      </w:pPr>
      <w:r>
        <w:rPr>
          <w:rFonts w:hint="eastAsia"/>
          <w:color w:val="auto"/>
        </w:rPr>
        <w:t>（二）村容村貌整治</w:t>
      </w:r>
    </w:p>
    <w:p w14:paraId="360381AD">
      <w:pPr>
        <w:rPr>
          <w:color w:val="auto"/>
        </w:rPr>
      </w:pPr>
      <w:r>
        <w:rPr>
          <w:rFonts w:hint="eastAsia"/>
          <w:color w:val="auto"/>
        </w:rPr>
        <w:t>优化公共活动空间布局，对小组的活动场地的整体环境进行整治提升，为村民提供休闲、交流场所。</w:t>
      </w:r>
    </w:p>
    <w:p w14:paraId="4CFA478D">
      <w:pPr>
        <w:rPr>
          <w:rFonts w:hint="eastAsia"/>
          <w:color w:val="auto"/>
        </w:rPr>
      </w:pPr>
      <w:r>
        <w:rPr>
          <w:rFonts w:hint="eastAsia"/>
          <w:color w:val="auto"/>
        </w:rPr>
        <w:t>优化村庄道路两侧的植被，对道路沿线绿化树种进行补种，形成连续的线性景观；提升现有村庄道路景观层次，科学搭配植物种类，根据村庄的实际条件和设施情况，因地制宜。</w:t>
      </w:r>
    </w:p>
    <w:p w14:paraId="393F415D">
      <w:pPr>
        <w:rPr>
          <w:rFonts w:hint="eastAsia"/>
          <w:color w:val="auto"/>
          <w:lang w:val="en-US" w:eastAsia="zh-CN"/>
        </w:rPr>
        <w:sectPr>
          <w:headerReference r:id="rId26" w:type="default"/>
          <w:pgSz w:w="11906" w:h="16838"/>
          <w:pgMar w:top="1701" w:right="1418" w:bottom="1531" w:left="1701" w:header="1134" w:footer="737" w:gutter="0"/>
          <w:cols w:space="425" w:num="1"/>
          <w:docGrid w:type="lines" w:linePitch="408" w:charSpace="0"/>
        </w:sectPr>
      </w:pPr>
      <w:r>
        <w:rPr>
          <w:rFonts w:hint="eastAsia"/>
          <w:color w:val="auto"/>
        </w:rPr>
        <w:t>农房整治方面，需要重点对影响村庄风貌的裸房，通过清洗墙面、装饰立面、规范设置空调外机、加固改造破旧门窗、勾勒窗框门套、修整屋顶等方式改造整治，确保房屋安全和构件完整，改善居住功能，提升建筑风貌，使村庄建筑立面整洁，风格协调</w:t>
      </w:r>
      <w:r>
        <w:rPr>
          <w:rFonts w:hint="eastAsia"/>
          <w:color w:val="auto"/>
          <w:lang w:eastAsia="zh-CN"/>
        </w:rPr>
        <w:t>。</w:t>
      </w:r>
    </w:p>
    <w:p w14:paraId="706A4C1A">
      <w:pPr>
        <w:pStyle w:val="3"/>
        <w:spacing w:before="204" w:after="81"/>
        <w:ind w:firstLine="321" w:firstLineChars="100"/>
        <w:jc w:val="left"/>
        <w:rPr>
          <w:rFonts w:ascii="Times New Roman" w:hAnsi="Times New Roman" w:cs="Times New Roman"/>
          <w:b/>
          <w:bCs w:val="0"/>
        </w:rPr>
      </w:pPr>
      <w:bookmarkStart w:id="126" w:name="_Toc2796"/>
      <w:bookmarkStart w:id="127" w:name="_Toc119759775"/>
      <w:bookmarkStart w:id="128" w:name="_Toc119944710"/>
      <w:bookmarkStart w:id="129" w:name="_Toc119944336"/>
      <w:bookmarkStart w:id="130" w:name="_Toc10843"/>
      <w:r>
        <w:rPr>
          <w:rFonts w:ascii="Times New Roman" w:hAnsi="Times New Roman" w:cs="Times New Roman"/>
          <w:b/>
          <w:bCs w:val="0"/>
        </w:rPr>
        <w:t>附录</w:t>
      </w:r>
      <w:r>
        <w:rPr>
          <w:rFonts w:hint="eastAsia" w:ascii="Times New Roman" w:hAnsi="Times New Roman" w:cs="Times New Roman"/>
          <w:b/>
          <w:bCs w:val="0"/>
        </w:rPr>
        <w:t>1</w:t>
      </w:r>
      <w:r>
        <w:rPr>
          <w:rFonts w:ascii="Times New Roman" w:hAnsi="Times New Roman" w:cs="Times New Roman"/>
          <w:b/>
          <w:bCs w:val="0"/>
        </w:rPr>
        <w:t>：</w:t>
      </w:r>
      <w:r>
        <w:rPr>
          <w:rFonts w:hint="eastAsia" w:ascii="Times New Roman" w:hAnsi="Times New Roman" w:cs="Times New Roman"/>
          <w:b/>
          <w:bCs w:val="0"/>
          <w:lang w:eastAsia="zh-CN"/>
        </w:rPr>
        <w:t>凤县红花铺镇</w:t>
      </w:r>
      <w:r>
        <w:rPr>
          <w:rFonts w:ascii="Times New Roman" w:hAnsi="Times New Roman" w:cs="Times New Roman"/>
          <w:b/>
          <w:bCs w:val="0"/>
        </w:rPr>
        <w:t>国土空间规划附表</w:t>
      </w:r>
      <w:bookmarkEnd w:id="126"/>
      <w:bookmarkEnd w:id="127"/>
      <w:bookmarkEnd w:id="128"/>
      <w:bookmarkEnd w:id="129"/>
      <w:bookmarkEnd w:id="130"/>
    </w:p>
    <w:p w14:paraId="1645F661">
      <w:pPr>
        <w:pStyle w:val="10"/>
        <w:tabs>
          <w:tab w:val="left" w:pos="420"/>
        </w:tabs>
        <w:spacing w:before="408" w:beforeLines="100" w:after="204" w:afterLines="50" w:line="240" w:lineRule="auto"/>
        <w:outlineLvl w:val="0"/>
        <w:rPr>
          <w:rFonts w:cs="黑体"/>
          <w:b/>
          <w:bCs/>
          <w:kern w:val="2"/>
          <w:sz w:val="30"/>
          <w:szCs w:val="30"/>
        </w:rPr>
      </w:pPr>
      <w:bookmarkStart w:id="131" w:name="_Toc15911"/>
      <w:bookmarkStart w:id="132" w:name="_Toc28483"/>
      <w:r>
        <w:rPr>
          <w:rFonts w:hint="eastAsia" w:cs="黑体"/>
          <w:b/>
          <w:bCs/>
          <w:kern w:val="2"/>
          <w:sz w:val="30"/>
          <w:szCs w:val="30"/>
        </w:rPr>
        <w:t xml:space="preserve">表1 </w:t>
      </w:r>
      <w:r>
        <w:rPr>
          <w:rFonts w:hint="eastAsia" w:cs="黑体"/>
          <w:b/>
          <w:bCs/>
          <w:kern w:val="2"/>
          <w:sz w:val="30"/>
          <w:szCs w:val="30"/>
          <w:lang w:val="en-US" w:eastAsia="zh-CN"/>
        </w:rPr>
        <w:t xml:space="preserve"> </w:t>
      </w:r>
      <w:r>
        <w:rPr>
          <w:rFonts w:hint="eastAsia" w:cs="黑体"/>
          <w:b/>
          <w:bCs/>
          <w:kern w:val="2"/>
          <w:sz w:val="30"/>
          <w:szCs w:val="30"/>
          <w:lang w:eastAsia="zh-CN"/>
        </w:rPr>
        <w:t>红花铺镇</w:t>
      </w:r>
      <w:r>
        <w:rPr>
          <w:rFonts w:hint="eastAsia" w:cs="黑体"/>
          <w:b/>
          <w:bCs/>
          <w:kern w:val="2"/>
          <w:sz w:val="30"/>
          <w:szCs w:val="30"/>
        </w:rPr>
        <w:t>国土空间规划指标表</w:t>
      </w:r>
      <w:bookmarkEnd w:id="131"/>
      <w:bookmarkEnd w:id="132"/>
    </w:p>
    <w:tbl>
      <w:tblPr>
        <w:tblStyle w:val="27"/>
        <w:tblW w:w="4997" w:type="pct"/>
        <w:tblInd w:w="0" w:type="dxa"/>
        <w:tblLayout w:type="autofit"/>
        <w:tblCellMar>
          <w:top w:w="0" w:type="dxa"/>
          <w:left w:w="108" w:type="dxa"/>
          <w:bottom w:w="0" w:type="dxa"/>
          <w:right w:w="108" w:type="dxa"/>
        </w:tblCellMar>
      </w:tblPr>
      <w:tblGrid>
        <w:gridCol w:w="2151"/>
        <w:gridCol w:w="1465"/>
        <w:gridCol w:w="1613"/>
        <w:gridCol w:w="1529"/>
        <w:gridCol w:w="1243"/>
        <w:gridCol w:w="884"/>
      </w:tblGrid>
      <w:tr w14:paraId="392064FB">
        <w:tblPrEx>
          <w:tblCellMar>
            <w:top w:w="0" w:type="dxa"/>
            <w:left w:w="108" w:type="dxa"/>
            <w:bottom w:w="0" w:type="dxa"/>
            <w:right w:w="108" w:type="dxa"/>
          </w:tblCellMar>
        </w:tblPrEx>
        <w:trPr>
          <w:trHeight w:val="617"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06AE0">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指标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66329">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单位</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851D7">
            <w:pPr>
              <w:pStyle w:val="24"/>
              <w:spacing w:beforeAutospacing="0" w:afterAutospacing="0" w:line="240" w:lineRule="auto"/>
              <w:ind w:firstLine="0" w:firstLineChars="0"/>
              <w:jc w:val="center"/>
              <w:rPr>
                <w:rFonts w:ascii="仿宋" w:hAnsi="仿宋" w:eastAsia="仿宋" w:cs="仿宋"/>
                <w:b/>
                <w:bCs/>
                <w:color w:val="000000"/>
                <w:szCs w:val="24"/>
              </w:rPr>
            </w:pPr>
            <w:r>
              <w:rPr>
                <w:rFonts w:ascii="仿宋" w:hAnsi="仿宋" w:eastAsia="仿宋" w:cs="仿宋"/>
                <w:b/>
                <w:bCs/>
                <w:color w:val="000000"/>
                <w:szCs w:val="24"/>
              </w:rPr>
              <w:t>2025 年</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33DC1">
            <w:pPr>
              <w:pStyle w:val="24"/>
              <w:spacing w:beforeAutospacing="0" w:afterAutospacing="0" w:line="240" w:lineRule="auto"/>
              <w:ind w:firstLine="0" w:firstLineChars="0"/>
              <w:jc w:val="center"/>
              <w:rPr>
                <w:rFonts w:ascii="仿宋" w:hAnsi="仿宋" w:eastAsia="仿宋" w:cs="仿宋"/>
                <w:b/>
                <w:bCs/>
                <w:color w:val="000000"/>
                <w:szCs w:val="24"/>
              </w:rPr>
            </w:pPr>
            <w:r>
              <w:rPr>
                <w:rFonts w:ascii="仿宋" w:hAnsi="仿宋" w:eastAsia="仿宋" w:cs="仿宋"/>
                <w:b/>
                <w:bCs/>
                <w:color w:val="000000"/>
                <w:szCs w:val="24"/>
              </w:rPr>
              <w:t>2035</w:t>
            </w:r>
            <w:r>
              <w:rPr>
                <w:rFonts w:hint="eastAsia" w:ascii="仿宋" w:hAnsi="仿宋" w:eastAsia="仿宋" w:cs="仿宋"/>
                <w:b/>
                <w:bCs/>
                <w:color w:val="000000"/>
                <w:szCs w:val="24"/>
              </w:rPr>
              <w:t>年</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7E2CF">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指标属性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D4489">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层级</w:t>
            </w:r>
          </w:p>
        </w:tc>
      </w:tr>
      <w:tr w14:paraId="214E5EB8">
        <w:tblPrEx>
          <w:tblCellMar>
            <w:top w:w="0" w:type="dxa"/>
            <w:left w:w="108" w:type="dxa"/>
            <w:bottom w:w="0" w:type="dxa"/>
            <w:right w:w="108" w:type="dxa"/>
          </w:tblCellMar>
        </w:tblPrEx>
        <w:trPr>
          <w:trHeight w:val="79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FDEDA">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耕地保有量</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2B0F">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公顷</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E782">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ascii="仿宋" w:hAnsi="仿宋" w:eastAsia="仿宋" w:cs="仿宋"/>
                <w:color w:val="0D0D0D" w:themeColor="text1" w:themeTint="F2"/>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201.89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C79BB">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ascii="仿宋" w:hAnsi="仿宋" w:eastAsia="仿宋" w:cs="仿宋"/>
                <w:color w:val="0D0D0D" w:themeColor="text1" w:themeTint="F2"/>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201.89</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E3BE3">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约束性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9077">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全域</w:t>
            </w:r>
          </w:p>
        </w:tc>
      </w:tr>
      <w:tr w14:paraId="4523C6CF">
        <w:tblPrEx>
          <w:tblCellMar>
            <w:top w:w="0" w:type="dxa"/>
            <w:left w:w="108" w:type="dxa"/>
            <w:bottom w:w="0" w:type="dxa"/>
            <w:right w:w="108" w:type="dxa"/>
          </w:tblCellMar>
        </w:tblPrEx>
        <w:trPr>
          <w:trHeight w:val="79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4FF11">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永久基本农田保护面积</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0573">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公顷</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977DC">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ascii="仿宋" w:hAnsi="仿宋" w:eastAsia="仿宋" w:cs="仿宋"/>
                <w:color w:val="0D0D0D" w:themeColor="text1" w:themeTint="F2"/>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160.33</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D2C0">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ascii="仿宋" w:hAnsi="仿宋" w:eastAsia="仿宋" w:cs="仿宋"/>
                <w:color w:val="0D0D0D" w:themeColor="text1" w:themeTint="F2"/>
                <w:szCs w:val="24"/>
                <w14:textFill>
                  <w14:solidFill>
                    <w14:schemeClr w14:val="tx1">
                      <w14:lumMod w14:val="95000"/>
                      <w14:lumOff w14:val="5000"/>
                    </w14:schemeClr>
                  </w14:solidFill>
                </w14:textFill>
              </w:rPr>
              <w:t>≥</w:t>
            </w: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160.33</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7A39A">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约束性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9916">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全域</w:t>
            </w:r>
          </w:p>
        </w:tc>
      </w:tr>
      <w:tr w14:paraId="7CE7D0E7">
        <w:tblPrEx>
          <w:tblCellMar>
            <w:top w:w="0" w:type="dxa"/>
            <w:left w:w="108" w:type="dxa"/>
            <w:bottom w:w="0" w:type="dxa"/>
            <w:right w:w="108" w:type="dxa"/>
          </w:tblCellMar>
        </w:tblPrEx>
        <w:trPr>
          <w:trHeight w:val="79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8A28A">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生态保护红线面积</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29F3">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公顷</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749C">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ascii="仿宋" w:hAnsi="仿宋" w:eastAsia="仿宋" w:cs="仿宋"/>
                <w:color w:val="0D0D0D" w:themeColor="text1" w:themeTint="F2"/>
                <w:szCs w:val="24"/>
                <w14:textFill>
                  <w14:solidFill>
                    <w14:schemeClr w14:val="tx1">
                      <w14:lumMod w14:val="95000"/>
                      <w14:lumOff w14:val="5000"/>
                    </w14:schemeClr>
                  </w14:solidFill>
                </w14:textFill>
              </w:rPr>
              <w:t>≥1</w:t>
            </w: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2345.99</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7E973">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ascii="仿宋" w:hAnsi="仿宋" w:eastAsia="仿宋" w:cs="仿宋"/>
                <w:color w:val="0D0D0D" w:themeColor="text1" w:themeTint="F2"/>
                <w:szCs w:val="24"/>
                <w14:textFill>
                  <w14:solidFill>
                    <w14:schemeClr w14:val="tx1">
                      <w14:lumMod w14:val="95000"/>
                      <w14:lumOff w14:val="5000"/>
                    </w14:schemeClr>
                  </w14:solidFill>
                </w14:textFill>
              </w:rPr>
              <w:t>≥1</w:t>
            </w: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2345.99</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3690">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约束性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2C5D2">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全域</w:t>
            </w:r>
          </w:p>
        </w:tc>
      </w:tr>
      <w:tr w14:paraId="084336FB">
        <w:tblPrEx>
          <w:tblCellMar>
            <w:top w:w="0" w:type="dxa"/>
            <w:left w:w="108" w:type="dxa"/>
            <w:bottom w:w="0" w:type="dxa"/>
            <w:right w:w="108" w:type="dxa"/>
          </w:tblCellMar>
        </w:tblPrEx>
        <w:trPr>
          <w:trHeight w:val="79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2EC65">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自然保护地陆域面积占陆域国土面积比例</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9872">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3ABB">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1.45</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0388">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1.45</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0C34C">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预期性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A389">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全域</w:t>
            </w:r>
          </w:p>
        </w:tc>
      </w:tr>
      <w:tr w14:paraId="0E681358">
        <w:tblPrEx>
          <w:tblCellMar>
            <w:top w:w="0" w:type="dxa"/>
            <w:left w:w="108" w:type="dxa"/>
            <w:bottom w:w="0" w:type="dxa"/>
            <w:right w:w="108" w:type="dxa"/>
          </w:tblCellMar>
        </w:tblPrEx>
        <w:trPr>
          <w:trHeight w:val="79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4738F">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森林覆盖率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90AB9">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3DC7D">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81</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01A92">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83</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9E036">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预期性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441D">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全域</w:t>
            </w:r>
          </w:p>
        </w:tc>
      </w:tr>
      <w:tr w14:paraId="5C1C2FD1">
        <w:tblPrEx>
          <w:tblCellMar>
            <w:top w:w="0" w:type="dxa"/>
            <w:left w:w="108" w:type="dxa"/>
            <w:bottom w:w="0" w:type="dxa"/>
            <w:right w:w="108" w:type="dxa"/>
          </w:tblCellMar>
        </w:tblPrEx>
        <w:trPr>
          <w:trHeight w:val="79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15AA7">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城镇开发边界规模</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29F7">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公顷</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971EB">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13.81</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87335">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4"/>
                <w:lang w:val="en-US" w:eastAsia="zh-CN"/>
                <w14:textFill>
                  <w14:solidFill>
                    <w14:schemeClr w14:val="tx1">
                      <w14:lumMod w14:val="95000"/>
                      <w14:lumOff w14:val="5000"/>
                    </w14:schemeClr>
                  </w14:solidFill>
                </w14:textFill>
              </w:rPr>
              <w:t>13.81</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A8D8">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预期性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9520A">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全域</w:t>
            </w:r>
          </w:p>
        </w:tc>
      </w:tr>
      <w:tr w14:paraId="6B345CC0">
        <w:tblPrEx>
          <w:tblCellMar>
            <w:top w:w="0" w:type="dxa"/>
            <w:left w:w="108" w:type="dxa"/>
            <w:bottom w:w="0" w:type="dxa"/>
            <w:right w:w="108" w:type="dxa"/>
          </w:tblCellMar>
        </w:tblPrEx>
        <w:trPr>
          <w:trHeight w:val="79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1B432">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人均城镇建设用地面积</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07C81">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平方米/人</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6F79">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highlight w:val="none"/>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4"/>
                <w:highlight w:val="none"/>
                <w:lang w:val="en-US" w:eastAsia="zh-CN"/>
                <w14:textFill>
                  <w14:solidFill>
                    <w14:schemeClr w14:val="tx1">
                      <w14:lumMod w14:val="95000"/>
                      <w14:lumOff w14:val="5000"/>
                    </w14:schemeClr>
                  </w14:solidFill>
                </w14:textFill>
              </w:rPr>
              <w:t>172.04</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9B2AB">
            <w:pPr>
              <w:pStyle w:val="24"/>
              <w:spacing w:beforeAutospacing="0" w:afterAutospacing="0" w:line="240" w:lineRule="auto"/>
              <w:ind w:firstLine="0" w:firstLineChars="0"/>
              <w:jc w:val="center"/>
              <w:rPr>
                <w:rFonts w:hint="default" w:ascii="仿宋" w:hAnsi="仿宋" w:eastAsia="仿宋" w:cs="仿宋"/>
                <w:color w:val="0D0D0D" w:themeColor="text1" w:themeTint="F2"/>
                <w:szCs w:val="24"/>
                <w:highlight w:val="none"/>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4"/>
                <w:highlight w:val="none"/>
                <w:lang w:val="en-US" w:eastAsia="zh-CN"/>
                <w14:textFill>
                  <w14:solidFill>
                    <w14:schemeClr w14:val="tx1">
                      <w14:lumMod w14:val="95000"/>
                      <w14:lumOff w14:val="5000"/>
                    </w14:schemeClr>
                  </w14:solidFill>
                </w14:textFill>
              </w:rPr>
              <w:t>132.38</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CBE1">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约束性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30821">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镇区</w:t>
            </w:r>
          </w:p>
        </w:tc>
      </w:tr>
      <w:tr w14:paraId="5FC9DFA9">
        <w:tblPrEx>
          <w:tblCellMar>
            <w:top w:w="0" w:type="dxa"/>
            <w:left w:w="108" w:type="dxa"/>
            <w:bottom w:w="0" w:type="dxa"/>
            <w:right w:w="108" w:type="dxa"/>
          </w:tblCellMar>
        </w:tblPrEx>
        <w:trPr>
          <w:trHeight w:val="79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F025">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道路网密度</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DE2D">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（千米/平方公里）</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37E6">
            <w:pPr>
              <w:pStyle w:val="24"/>
              <w:spacing w:beforeAutospacing="0" w:afterAutospacing="0" w:line="240" w:lineRule="auto"/>
              <w:ind w:firstLine="0" w:firstLineChars="0"/>
              <w:jc w:val="center"/>
              <w:rPr>
                <w:rFonts w:hint="default" w:ascii="仿宋" w:hAnsi="仿宋" w:eastAsia="仿宋" w:cs="仿宋"/>
                <w:color w:val="0000FF"/>
                <w:szCs w:val="24"/>
                <w:highlight w:val="none"/>
                <w:lang w:val="en-US" w:eastAsia="zh-CN"/>
              </w:rPr>
            </w:pPr>
            <w:r>
              <w:rPr>
                <w:rFonts w:hint="eastAsia" w:ascii="仿宋" w:hAnsi="仿宋" w:eastAsia="仿宋" w:cs="仿宋"/>
                <w:color w:val="0D0D0D" w:themeColor="text1" w:themeTint="F2"/>
                <w:szCs w:val="24"/>
                <w:highlight w:val="none"/>
                <w:lang w:val="en-US" w:eastAsia="zh-CN"/>
                <w14:textFill>
                  <w14:solidFill>
                    <w14:schemeClr w14:val="tx1">
                      <w14:lumMod w14:val="95000"/>
                      <w14:lumOff w14:val="5000"/>
                    </w14:schemeClr>
                  </w14:solidFill>
                </w14:textFill>
              </w:rPr>
              <w:t>16.32</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98C3">
            <w:pPr>
              <w:pStyle w:val="24"/>
              <w:spacing w:beforeAutospacing="0" w:afterAutospacing="0" w:line="240" w:lineRule="auto"/>
              <w:ind w:firstLine="0" w:firstLineChars="0"/>
              <w:jc w:val="center"/>
              <w:rPr>
                <w:rFonts w:hint="default" w:ascii="仿宋" w:hAnsi="仿宋" w:eastAsia="仿宋" w:cs="仿宋"/>
                <w:color w:val="0000FF"/>
                <w:szCs w:val="24"/>
                <w:highlight w:val="none"/>
                <w:lang w:val="en-US" w:eastAsia="zh-CN"/>
              </w:rPr>
            </w:pPr>
            <w:r>
              <w:rPr>
                <w:rFonts w:hint="eastAsia" w:ascii="仿宋" w:hAnsi="仿宋" w:eastAsia="仿宋" w:cs="仿宋"/>
                <w:color w:val="0D0D0D" w:themeColor="text1" w:themeTint="F2"/>
                <w:szCs w:val="24"/>
                <w:highlight w:val="none"/>
                <w:lang w:val="en-US" w:eastAsia="zh-CN"/>
                <w14:textFill>
                  <w14:solidFill>
                    <w14:schemeClr w14:val="tx1">
                      <w14:lumMod w14:val="95000"/>
                      <w14:lumOff w14:val="5000"/>
                    </w14:schemeClr>
                  </w14:solidFill>
                </w14:textFill>
              </w:rPr>
              <w:t>17.60</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AD4C">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约束性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218B">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镇区</w:t>
            </w:r>
          </w:p>
        </w:tc>
      </w:tr>
      <w:tr w14:paraId="384A42DD">
        <w:tblPrEx>
          <w:tblCellMar>
            <w:top w:w="0" w:type="dxa"/>
            <w:left w:w="108" w:type="dxa"/>
            <w:bottom w:w="0" w:type="dxa"/>
            <w:right w:w="108" w:type="dxa"/>
          </w:tblCellMar>
        </w:tblPrEx>
        <w:trPr>
          <w:trHeight w:val="794" w:hRule="atLeast"/>
        </w:trPr>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5D60">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公园绿地、广场步行5分钟覆盖率</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A4A68">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F1498">
            <w:pPr>
              <w:pStyle w:val="24"/>
              <w:spacing w:beforeAutospacing="0" w:afterAutospacing="0" w:line="240" w:lineRule="auto"/>
              <w:ind w:firstLine="0" w:firstLineChars="0"/>
              <w:jc w:val="center"/>
              <w:rPr>
                <w:rFonts w:hint="default" w:ascii="仿宋" w:hAnsi="仿宋" w:eastAsia="仿宋" w:cs="仿宋"/>
                <w:color w:val="0000FF"/>
                <w:szCs w:val="24"/>
                <w:highlight w:val="none"/>
                <w:lang w:val="en-US" w:eastAsia="zh-CN"/>
              </w:rPr>
            </w:pPr>
            <w:r>
              <w:rPr>
                <w:rFonts w:hint="eastAsia" w:ascii="仿宋" w:hAnsi="仿宋" w:eastAsia="仿宋" w:cs="仿宋"/>
                <w:color w:val="0D0D0D" w:themeColor="text1" w:themeTint="F2"/>
                <w:szCs w:val="24"/>
                <w:highlight w:val="none"/>
                <w:lang w:val="en-US" w:eastAsia="zh-CN"/>
                <w14:textFill>
                  <w14:solidFill>
                    <w14:schemeClr w14:val="tx1">
                      <w14:lumMod w14:val="95000"/>
                      <w14:lumOff w14:val="5000"/>
                    </w14:schemeClr>
                  </w14:solidFill>
                </w14:textFill>
              </w:rPr>
              <w:t>44.34</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F6BE6">
            <w:pPr>
              <w:pStyle w:val="24"/>
              <w:spacing w:beforeAutospacing="0" w:afterAutospacing="0" w:line="240" w:lineRule="auto"/>
              <w:ind w:firstLine="0" w:firstLineChars="0"/>
              <w:jc w:val="center"/>
              <w:rPr>
                <w:rFonts w:hint="default" w:ascii="仿宋" w:hAnsi="仿宋" w:eastAsia="仿宋" w:cs="仿宋"/>
                <w:color w:val="0000FF"/>
                <w:szCs w:val="24"/>
                <w:highlight w:val="none"/>
                <w:lang w:val="en-US" w:eastAsia="zh-CN"/>
              </w:rPr>
            </w:pPr>
            <w:r>
              <w:rPr>
                <w:rFonts w:hint="eastAsia" w:ascii="仿宋" w:hAnsi="仿宋" w:eastAsia="仿宋" w:cs="仿宋"/>
                <w:color w:val="0D0D0D" w:themeColor="text1" w:themeTint="F2"/>
                <w:szCs w:val="24"/>
                <w:highlight w:val="none"/>
                <w:lang w:val="en-US" w:eastAsia="zh-CN"/>
                <w14:textFill>
                  <w14:solidFill>
                    <w14:schemeClr w14:val="tx1">
                      <w14:lumMod w14:val="95000"/>
                      <w14:lumOff w14:val="5000"/>
                    </w14:schemeClr>
                  </w14:solidFill>
                </w14:textFill>
              </w:rPr>
              <w:t>48.56</w:t>
            </w: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62C14">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约束性</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9E48B">
            <w:pPr>
              <w:pStyle w:val="24"/>
              <w:spacing w:beforeAutospacing="0" w:afterAutospacing="0" w:line="240" w:lineRule="auto"/>
              <w:ind w:firstLine="0" w:firstLineChars="0"/>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镇区</w:t>
            </w:r>
          </w:p>
        </w:tc>
      </w:tr>
    </w:tbl>
    <w:p w14:paraId="3002E61E">
      <w:pPr>
        <w:ind w:firstLine="643"/>
        <w:rPr>
          <w:sz w:val="28"/>
          <w:szCs w:val="21"/>
        </w:rPr>
      </w:pPr>
      <w:r>
        <w:rPr>
          <w:rFonts w:ascii="Times New Roman" w:hAnsi="Times New Roman" w:cs="Times New Roman"/>
          <w:b/>
          <w:sz w:val="32"/>
          <w:szCs w:val="32"/>
        </w:rPr>
        <w:br w:type="page"/>
      </w:r>
    </w:p>
    <w:p w14:paraId="7EDC029B">
      <w:pPr>
        <w:spacing w:line="240" w:lineRule="atLeast"/>
        <w:ind w:firstLine="120"/>
        <w:rPr>
          <w:sz w:val="6"/>
          <w:szCs w:val="6"/>
        </w:rPr>
      </w:pPr>
    </w:p>
    <w:p w14:paraId="1A8E7013">
      <w:pPr>
        <w:pStyle w:val="10"/>
        <w:tabs>
          <w:tab w:val="left" w:pos="420"/>
        </w:tabs>
        <w:spacing w:line="240" w:lineRule="auto"/>
        <w:outlineLvl w:val="0"/>
        <w:rPr>
          <w:rFonts w:cs="黑体"/>
          <w:b/>
          <w:bCs/>
          <w:sz w:val="30"/>
          <w:szCs w:val="30"/>
        </w:rPr>
      </w:pPr>
      <w:bookmarkStart w:id="133" w:name="_Toc1849"/>
      <w:bookmarkStart w:id="134" w:name="_Toc31962"/>
      <w:r>
        <w:rPr>
          <w:rFonts w:hint="eastAsia" w:cs="黑体"/>
          <w:b/>
          <w:bCs/>
          <w:sz w:val="30"/>
          <w:szCs w:val="30"/>
        </w:rPr>
        <w:t xml:space="preserve">表2  </w:t>
      </w:r>
      <w:r>
        <w:rPr>
          <w:rFonts w:hint="eastAsia" w:cs="黑体"/>
          <w:b/>
          <w:bCs/>
          <w:kern w:val="2"/>
          <w:sz w:val="30"/>
          <w:szCs w:val="30"/>
          <w:lang w:eastAsia="zh-CN"/>
        </w:rPr>
        <w:t>红花铺镇</w:t>
      </w:r>
      <w:r>
        <w:rPr>
          <w:rFonts w:hint="eastAsia" w:cs="黑体"/>
          <w:b/>
          <w:bCs/>
          <w:sz w:val="30"/>
          <w:szCs w:val="30"/>
        </w:rPr>
        <w:t>国土空间</w:t>
      </w:r>
      <w:r>
        <w:rPr>
          <w:rFonts w:hint="eastAsia" w:cs="黑体"/>
          <w:b/>
          <w:bCs/>
          <w:kern w:val="2"/>
          <w:sz w:val="30"/>
          <w:szCs w:val="30"/>
        </w:rPr>
        <w:t>用地结构调整</w:t>
      </w:r>
      <w:r>
        <w:rPr>
          <w:rFonts w:hint="eastAsia" w:cs="黑体"/>
          <w:b/>
          <w:bCs/>
          <w:sz w:val="30"/>
          <w:szCs w:val="30"/>
        </w:rPr>
        <w:t>表</w:t>
      </w:r>
      <w:bookmarkEnd w:id="133"/>
      <w:bookmarkEnd w:id="134"/>
    </w:p>
    <w:p w14:paraId="4EA7F761">
      <w:pPr>
        <w:spacing w:line="240" w:lineRule="atLeast"/>
        <w:ind w:firstLine="0" w:firstLineChars="0"/>
        <w:jc w:val="right"/>
        <w:rPr>
          <w:sz w:val="22"/>
          <w:szCs w:val="18"/>
        </w:rPr>
      </w:pPr>
      <w:r>
        <w:rPr>
          <w:rFonts w:hint="eastAsia"/>
          <w:sz w:val="22"/>
          <w:szCs w:val="18"/>
        </w:rPr>
        <w:t>单位：公顷、%</w:t>
      </w:r>
    </w:p>
    <w:tbl>
      <w:tblPr>
        <w:tblStyle w:val="27"/>
        <w:tblW w:w="5043" w:type="pct"/>
        <w:tblInd w:w="0" w:type="dxa"/>
        <w:tblLayout w:type="fixed"/>
        <w:tblCellMar>
          <w:top w:w="0" w:type="dxa"/>
          <w:left w:w="108" w:type="dxa"/>
          <w:bottom w:w="0" w:type="dxa"/>
          <w:right w:w="108" w:type="dxa"/>
        </w:tblCellMar>
      </w:tblPr>
      <w:tblGrid>
        <w:gridCol w:w="838"/>
        <w:gridCol w:w="453"/>
        <w:gridCol w:w="600"/>
        <w:gridCol w:w="1222"/>
        <w:gridCol w:w="1253"/>
        <w:gridCol w:w="1112"/>
        <w:gridCol w:w="1291"/>
        <w:gridCol w:w="1076"/>
        <w:gridCol w:w="1121"/>
      </w:tblGrid>
      <w:tr w14:paraId="389E6EEB">
        <w:tblPrEx>
          <w:tblCellMar>
            <w:top w:w="0" w:type="dxa"/>
            <w:left w:w="108" w:type="dxa"/>
            <w:bottom w:w="0" w:type="dxa"/>
            <w:right w:w="108" w:type="dxa"/>
          </w:tblCellMar>
        </w:tblPrEx>
        <w:trPr>
          <w:trHeight w:val="315" w:hRule="atLeast"/>
        </w:trPr>
        <w:tc>
          <w:tcPr>
            <w:tcW w:w="1734"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4CE7A">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br w:type="page"/>
            </w:r>
            <w:r>
              <w:rPr>
                <w:rFonts w:hint="default" w:ascii="Times New Roman" w:hAnsi="Times New Roman" w:eastAsia="仿宋_GB2312" w:cs="Times New Roman"/>
                <w:b/>
                <w:bCs/>
                <w:color w:val="000000"/>
                <w:szCs w:val="24"/>
              </w:rPr>
              <w:t>用地类型</w:t>
            </w:r>
          </w:p>
        </w:tc>
        <w:tc>
          <w:tcPr>
            <w:tcW w:w="13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93C903">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2020年</w:t>
            </w:r>
          </w:p>
        </w:tc>
        <w:tc>
          <w:tcPr>
            <w:tcW w:w="13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A24D3">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2035年</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C385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b/>
                <w:bCs/>
                <w:color w:val="000000"/>
                <w:szCs w:val="24"/>
              </w:rPr>
              <w:t>规划期净变化量</w:t>
            </w:r>
          </w:p>
        </w:tc>
      </w:tr>
      <w:tr w14:paraId="27899FA5">
        <w:tblPrEx>
          <w:tblCellMar>
            <w:top w:w="0" w:type="dxa"/>
            <w:left w:w="108" w:type="dxa"/>
            <w:bottom w:w="0" w:type="dxa"/>
            <w:right w:w="108" w:type="dxa"/>
          </w:tblCellMar>
        </w:tblPrEx>
        <w:trPr>
          <w:trHeight w:val="315" w:hRule="atLeast"/>
        </w:trPr>
        <w:tc>
          <w:tcPr>
            <w:tcW w:w="173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37DB4">
            <w:pPr>
              <w:pStyle w:val="24"/>
              <w:spacing w:beforeAutospacing="0" w:afterAutospacing="0"/>
              <w:ind w:firstLine="482"/>
              <w:jc w:val="center"/>
              <w:rPr>
                <w:rFonts w:hint="default" w:ascii="Times New Roman" w:hAnsi="Times New Roman" w:eastAsia="仿宋_GB2312" w:cs="Times New Roman"/>
                <w:b/>
                <w:bCs/>
                <w:color w:val="000000"/>
                <w:szCs w:val="24"/>
              </w:rPr>
            </w:pPr>
          </w:p>
        </w:tc>
        <w:tc>
          <w:tcPr>
            <w:tcW w:w="6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0F916">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面积</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3ACB1">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比重</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314EC">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面积</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F8A6">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比重</w:t>
            </w: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33220">
            <w:pPr>
              <w:pStyle w:val="24"/>
              <w:spacing w:beforeAutospacing="0" w:afterAutospacing="0"/>
              <w:ind w:firstLine="480"/>
              <w:jc w:val="center"/>
              <w:rPr>
                <w:rFonts w:hint="default" w:ascii="Times New Roman" w:hAnsi="Times New Roman" w:eastAsia="仿宋_GB2312" w:cs="Times New Roman"/>
                <w:color w:val="000000"/>
                <w:szCs w:val="24"/>
              </w:rPr>
            </w:pPr>
          </w:p>
        </w:tc>
      </w:tr>
      <w:tr w14:paraId="0209E0A6">
        <w:tblPrEx>
          <w:tblCellMar>
            <w:top w:w="0" w:type="dxa"/>
            <w:left w:w="108" w:type="dxa"/>
            <w:bottom w:w="0" w:type="dxa"/>
            <w:right w:w="108" w:type="dxa"/>
          </w:tblCellMar>
        </w:tblPrEx>
        <w:trPr>
          <w:trHeight w:val="436"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6DD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农用地</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4CC34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耕地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E4E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187.53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253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0.81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669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207.71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AC9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0.9</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D30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20.18</w:t>
            </w:r>
          </w:p>
        </w:tc>
      </w:tr>
      <w:tr w14:paraId="069089C4">
        <w:tblPrEx>
          <w:tblCellMar>
            <w:top w:w="0" w:type="dxa"/>
            <w:left w:w="108" w:type="dxa"/>
            <w:bottom w:w="0" w:type="dxa"/>
            <w:right w:w="108" w:type="dxa"/>
          </w:tblCellMar>
        </w:tblPrEx>
        <w:trPr>
          <w:trHeight w:val="443"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DB6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B1BE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园地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C7F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625.32</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9EC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2.71</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F1F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601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19A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2.6</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E61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-24.32</w:t>
            </w:r>
          </w:p>
        </w:tc>
      </w:tr>
      <w:tr w14:paraId="2BEA4F51">
        <w:tblPrEx>
          <w:tblCellMar>
            <w:top w:w="0" w:type="dxa"/>
            <w:left w:w="108" w:type="dxa"/>
            <w:bottom w:w="0" w:type="dxa"/>
            <w:right w:w="108" w:type="dxa"/>
          </w:tblCellMar>
        </w:tblPrEx>
        <w:trPr>
          <w:trHeight w:val="42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484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14E4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林地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792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21696.21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A49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93.95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7FA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21691.99</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29D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93.93</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CE6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-4.22</w:t>
            </w:r>
          </w:p>
        </w:tc>
      </w:tr>
      <w:tr w14:paraId="58F32B8F">
        <w:tblPrEx>
          <w:tblCellMar>
            <w:top w:w="0" w:type="dxa"/>
            <w:left w:w="108" w:type="dxa"/>
            <w:bottom w:w="0" w:type="dxa"/>
            <w:right w:w="108" w:type="dxa"/>
          </w:tblCellMar>
        </w:tblPrEx>
        <w:trPr>
          <w:trHeight w:val="436"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BCD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DE9C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牧草地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0AF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68.97</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FEF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70B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68.64</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AA0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0.3</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EE4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-0.33</w:t>
            </w:r>
          </w:p>
        </w:tc>
      </w:tr>
      <w:tr w14:paraId="4B28AA5B">
        <w:tblPrEx>
          <w:tblCellMar>
            <w:top w:w="0" w:type="dxa"/>
            <w:left w:w="108" w:type="dxa"/>
            <w:bottom w:w="0" w:type="dxa"/>
            <w:right w:w="108" w:type="dxa"/>
          </w:tblCellMar>
        </w:tblPrEx>
        <w:trPr>
          <w:trHeight w:val="659"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583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DC2B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湿地（灌丛沼泽、沼泽草地、沼泽地）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66E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423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7A1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356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309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r>
      <w:tr w14:paraId="253B9DDD">
        <w:tblPrEx>
          <w:tblCellMar>
            <w:top w:w="0" w:type="dxa"/>
            <w:left w:w="108" w:type="dxa"/>
            <w:bottom w:w="0" w:type="dxa"/>
            <w:right w:w="108" w:type="dxa"/>
          </w:tblCellMar>
        </w:tblPrEx>
        <w:trPr>
          <w:trHeight w:val="52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026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BE784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其他农用地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4DB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69.91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3D0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E8C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74.72</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05F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0.32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2BD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4.81</w:t>
            </w:r>
          </w:p>
        </w:tc>
      </w:tr>
      <w:tr w14:paraId="28D51AF5">
        <w:tblPrEx>
          <w:tblCellMar>
            <w:top w:w="0" w:type="dxa"/>
            <w:left w:w="108" w:type="dxa"/>
            <w:bottom w:w="0" w:type="dxa"/>
            <w:right w:w="108" w:type="dxa"/>
          </w:tblCellMar>
        </w:tblPrEx>
        <w:trPr>
          <w:trHeight w:val="680"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6FA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建设用地</w:t>
            </w:r>
          </w:p>
        </w:tc>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ABD05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城乡建设用地</w:t>
            </w:r>
          </w:p>
        </w:tc>
        <w:tc>
          <w:tcPr>
            <w:tcW w:w="3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C8D5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城镇用地</w:t>
            </w: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6A44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城镇开发边界内</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D108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10.32</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B8A6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0.05</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105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13.81</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746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0.06</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D14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3.49</w:t>
            </w:r>
          </w:p>
        </w:tc>
      </w:tr>
      <w:tr w14:paraId="41D90BBC">
        <w:tblPrEx>
          <w:tblCellMar>
            <w:top w:w="0" w:type="dxa"/>
            <w:left w:w="108" w:type="dxa"/>
            <w:bottom w:w="0" w:type="dxa"/>
            <w:right w:w="108" w:type="dxa"/>
          </w:tblCellMar>
        </w:tblPrEx>
        <w:trPr>
          <w:trHeight w:val="68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8B4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11CB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3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7D4E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6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A951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其他城镇建设用地</w:t>
            </w:r>
          </w:p>
        </w:tc>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21E4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D116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ECA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B2D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c>
          <w:tcPr>
            <w:tcW w:w="11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7FF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r>
      <w:tr w14:paraId="4DE8A24B">
        <w:tblPrEx>
          <w:tblCellMar>
            <w:top w:w="0" w:type="dxa"/>
            <w:left w:w="108" w:type="dxa"/>
            <w:bottom w:w="0" w:type="dxa"/>
            <w:right w:w="108" w:type="dxa"/>
          </w:tblCellMar>
        </w:tblPrEx>
        <w:trPr>
          <w:trHeight w:val="68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616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9485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0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B516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村庄用地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CE6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73.27</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150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0.32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C9C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76.03</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E3F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0.33</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620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2.76</w:t>
            </w:r>
          </w:p>
        </w:tc>
      </w:tr>
      <w:tr w14:paraId="59FDA719">
        <w:tblPrEx>
          <w:tblCellMar>
            <w:top w:w="0" w:type="dxa"/>
            <w:left w:w="108" w:type="dxa"/>
            <w:bottom w:w="0" w:type="dxa"/>
            <w:right w:w="108" w:type="dxa"/>
          </w:tblCellMar>
        </w:tblPrEx>
        <w:trPr>
          <w:trHeight w:val="554"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00D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ACB3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区域基础设施用地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12D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86.78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053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0.38</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89C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85.97</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58F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0.37</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4D0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-0.81</w:t>
            </w:r>
          </w:p>
        </w:tc>
      </w:tr>
      <w:tr w14:paraId="5DBBA391">
        <w:tblPrEx>
          <w:tblCellMar>
            <w:top w:w="0" w:type="dxa"/>
            <w:left w:w="108" w:type="dxa"/>
            <w:bottom w:w="0" w:type="dxa"/>
            <w:right w:w="108" w:type="dxa"/>
          </w:tblCellMar>
        </w:tblPrEx>
        <w:trPr>
          <w:trHeight w:val="587"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BD5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A90E4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其他建设用地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232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30.74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21B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0.13</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F43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28.03</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E0A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AA4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-2.71</w:t>
            </w:r>
          </w:p>
        </w:tc>
      </w:tr>
      <w:tr w14:paraId="1C9D7799">
        <w:tblPrEx>
          <w:tblCellMar>
            <w:top w:w="0" w:type="dxa"/>
            <w:left w:w="108" w:type="dxa"/>
            <w:bottom w:w="0" w:type="dxa"/>
            <w:right w:w="108" w:type="dxa"/>
          </w:tblCellMar>
        </w:tblPrEx>
        <w:trPr>
          <w:trHeight w:val="520"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52E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其他土地</w:t>
            </w: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55CAE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陆地水域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92F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107.3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86B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0.46</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0C53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107.39</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05A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0.47</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21F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0.09</w:t>
            </w:r>
          </w:p>
        </w:tc>
      </w:tr>
      <w:tr w14:paraId="4D31277B">
        <w:tblPrEx>
          <w:tblCellMar>
            <w:top w:w="0" w:type="dxa"/>
            <w:left w:w="108" w:type="dxa"/>
            <w:bottom w:w="0" w:type="dxa"/>
            <w:right w:w="108" w:type="dxa"/>
          </w:tblCellMar>
        </w:tblPrEx>
        <w:trPr>
          <w:trHeight w:val="57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82B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E13D0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其他土地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6DE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27.73</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7EB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0.12</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E61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27.85</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1F5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0.12</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2B5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0.12</w:t>
            </w:r>
          </w:p>
        </w:tc>
      </w:tr>
      <w:tr w14:paraId="551CF9CC">
        <w:tblPrEx>
          <w:tblCellMar>
            <w:top w:w="0" w:type="dxa"/>
            <w:left w:w="108" w:type="dxa"/>
            <w:bottom w:w="0" w:type="dxa"/>
            <w:right w:w="108" w:type="dxa"/>
          </w:tblCellMar>
        </w:tblPrEx>
        <w:trPr>
          <w:trHeight w:val="587"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825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2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2AF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湿地（内陆滩涂）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969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109.08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B88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0.47</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A69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110.02</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F61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0.48</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3B5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0.94</w:t>
            </w:r>
          </w:p>
        </w:tc>
      </w:tr>
      <w:tr w14:paraId="3F0E3E99">
        <w:tblPrEx>
          <w:tblCellMar>
            <w:top w:w="0" w:type="dxa"/>
            <w:left w:w="108" w:type="dxa"/>
            <w:bottom w:w="0" w:type="dxa"/>
            <w:right w:w="108" w:type="dxa"/>
          </w:tblCellMar>
        </w:tblPrEx>
        <w:trPr>
          <w:trHeight w:val="680" w:hRule="atLeast"/>
        </w:trPr>
        <w:tc>
          <w:tcPr>
            <w:tcW w:w="17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51B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合计</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B85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 xml:space="preserve">23093.16 </w:t>
            </w:r>
          </w:p>
        </w:tc>
        <w:tc>
          <w:tcPr>
            <w:tcW w:w="1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DA4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100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371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 xml:space="preserve">23093.16 </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D4C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100</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6E7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r>
    </w:tbl>
    <w:p w14:paraId="27915D9C">
      <w:pPr>
        <w:pStyle w:val="2"/>
        <w:spacing w:after="204"/>
        <w:ind w:firstLine="560"/>
      </w:pPr>
    </w:p>
    <w:p w14:paraId="30E75DCC">
      <w:pPr>
        <w:pStyle w:val="21"/>
        <w:spacing w:after="204"/>
        <w:ind w:left="1160" w:hanging="560"/>
      </w:pPr>
    </w:p>
    <w:p w14:paraId="3FCAF694">
      <w:pPr>
        <w:pStyle w:val="21"/>
        <w:spacing w:after="204"/>
        <w:ind w:left="1160" w:hanging="560"/>
      </w:pPr>
    </w:p>
    <w:p w14:paraId="1D2F2E84">
      <w:pPr>
        <w:spacing w:line="240" w:lineRule="atLeast"/>
        <w:ind w:firstLine="120"/>
        <w:rPr>
          <w:sz w:val="6"/>
          <w:szCs w:val="6"/>
        </w:rPr>
      </w:pPr>
      <w:bookmarkStart w:id="135" w:name="_Toc31203"/>
    </w:p>
    <w:p w14:paraId="26558EB7">
      <w:pPr>
        <w:pStyle w:val="10"/>
        <w:tabs>
          <w:tab w:val="left" w:pos="420"/>
        </w:tabs>
        <w:spacing w:line="240" w:lineRule="auto"/>
        <w:outlineLvl w:val="0"/>
        <w:rPr>
          <w:rFonts w:cs="黑体"/>
          <w:b/>
          <w:bCs/>
          <w:sz w:val="30"/>
          <w:szCs w:val="30"/>
        </w:rPr>
      </w:pPr>
      <w:bookmarkStart w:id="136" w:name="_Toc15595"/>
      <w:bookmarkStart w:id="137" w:name="_Toc596"/>
      <w:r>
        <w:rPr>
          <w:rFonts w:hint="eastAsia" w:cs="黑体"/>
          <w:b/>
          <w:bCs/>
          <w:sz w:val="30"/>
          <w:szCs w:val="30"/>
        </w:rPr>
        <w:t>表</w:t>
      </w:r>
      <w:r>
        <w:rPr>
          <w:rFonts w:hint="eastAsia" w:cs="黑体"/>
          <w:b/>
          <w:bCs/>
          <w:sz w:val="30"/>
          <w:szCs w:val="30"/>
        </w:rPr>
        <w:fldChar w:fldCharType="begin"/>
      </w:r>
      <w:r>
        <w:rPr>
          <w:rFonts w:hint="eastAsia" w:cs="黑体"/>
          <w:b/>
          <w:bCs/>
          <w:sz w:val="30"/>
          <w:szCs w:val="30"/>
        </w:rPr>
        <w:instrText xml:space="preserve"> SEQ 附表 \* ARABIC </w:instrText>
      </w:r>
      <w:r>
        <w:rPr>
          <w:rFonts w:hint="eastAsia" w:cs="黑体"/>
          <w:b/>
          <w:bCs/>
          <w:sz w:val="30"/>
          <w:szCs w:val="30"/>
        </w:rPr>
        <w:fldChar w:fldCharType="separate"/>
      </w:r>
      <w:r>
        <w:rPr>
          <w:rFonts w:hint="eastAsia" w:cs="黑体"/>
          <w:b/>
          <w:bCs/>
          <w:sz w:val="30"/>
          <w:szCs w:val="30"/>
        </w:rPr>
        <w:t>3</w:t>
      </w:r>
      <w:r>
        <w:rPr>
          <w:rFonts w:hint="eastAsia" w:cs="黑体"/>
          <w:b/>
          <w:bCs/>
          <w:sz w:val="30"/>
          <w:szCs w:val="30"/>
        </w:rPr>
        <w:fldChar w:fldCharType="end"/>
      </w:r>
      <w:r>
        <w:rPr>
          <w:rFonts w:hint="eastAsia" w:cs="黑体"/>
          <w:b/>
          <w:bCs/>
          <w:sz w:val="30"/>
          <w:szCs w:val="30"/>
        </w:rPr>
        <w:t xml:space="preserve">  </w:t>
      </w:r>
      <w:r>
        <w:rPr>
          <w:rFonts w:hint="eastAsia" w:cs="黑体"/>
          <w:b/>
          <w:bCs/>
          <w:sz w:val="30"/>
          <w:szCs w:val="30"/>
          <w:lang w:eastAsia="zh-CN"/>
        </w:rPr>
        <w:t>红花铺镇</w:t>
      </w:r>
      <w:r>
        <w:rPr>
          <w:rFonts w:hint="eastAsia" w:cs="黑体"/>
          <w:b/>
          <w:bCs/>
          <w:sz w:val="30"/>
          <w:szCs w:val="30"/>
        </w:rPr>
        <w:t>国土空间规划分区统计表</w:t>
      </w:r>
      <w:bookmarkEnd w:id="135"/>
      <w:bookmarkEnd w:id="136"/>
      <w:bookmarkEnd w:id="137"/>
    </w:p>
    <w:p w14:paraId="749AB90B">
      <w:pPr>
        <w:pStyle w:val="24"/>
        <w:spacing w:beforeAutospacing="0" w:afterAutospacing="0" w:line="240" w:lineRule="atLeast"/>
        <w:ind w:firstLine="0" w:firstLineChars="0"/>
        <w:jc w:val="right"/>
        <w:rPr>
          <w:rFonts w:ascii="仿宋" w:hAnsi="仿宋" w:eastAsia="仿宋" w:cs="仿宋"/>
          <w:color w:val="000000"/>
          <w:szCs w:val="24"/>
        </w:rPr>
      </w:pPr>
      <w:r>
        <w:rPr>
          <w:rFonts w:hint="eastAsia" w:ascii="仿宋" w:hAnsi="仿宋" w:eastAsia="仿宋" w:cs="仿宋"/>
          <w:color w:val="000000"/>
          <w:szCs w:val="24"/>
        </w:rPr>
        <w:t>单位：公顷、%</w:t>
      </w:r>
    </w:p>
    <w:tbl>
      <w:tblPr>
        <w:tblStyle w:val="27"/>
        <w:tblW w:w="4997" w:type="pct"/>
        <w:tblInd w:w="0" w:type="dxa"/>
        <w:tblLayout w:type="autofit"/>
        <w:tblCellMar>
          <w:top w:w="0" w:type="dxa"/>
          <w:left w:w="108" w:type="dxa"/>
          <w:bottom w:w="0" w:type="dxa"/>
          <w:right w:w="108" w:type="dxa"/>
        </w:tblCellMar>
      </w:tblPr>
      <w:tblGrid>
        <w:gridCol w:w="2022"/>
        <w:gridCol w:w="2024"/>
        <w:gridCol w:w="2376"/>
        <w:gridCol w:w="1284"/>
        <w:gridCol w:w="1179"/>
      </w:tblGrid>
      <w:tr w14:paraId="4AEAA08F">
        <w:tblPrEx>
          <w:tblCellMar>
            <w:top w:w="0" w:type="dxa"/>
            <w:left w:w="108" w:type="dxa"/>
            <w:bottom w:w="0" w:type="dxa"/>
            <w:right w:w="108" w:type="dxa"/>
          </w:tblCellMar>
        </w:tblPrEx>
        <w:trPr>
          <w:trHeight w:val="634"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92D9">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一级分区</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4864">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一级分区</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1464">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三级分区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5B93">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面积</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6474">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比重</w:t>
            </w:r>
          </w:p>
        </w:tc>
      </w:tr>
      <w:tr w14:paraId="425CEC28">
        <w:tblPrEx>
          <w:tblCellMar>
            <w:top w:w="0" w:type="dxa"/>
            <w:left w:w="108" w:type="dxa"/>
            <w:bottom w:w="0" w:type="dxa"/>
            <w:right w:w="108" w:type="dxa"/>
          </w:tblCellMar>
        </w:tblPrEx>
        <w:trPr>
          <w:trHeight w:val="51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3A5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生态保护区</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202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A30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756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12345</w:t>
            </w:r>
            <w:r>
              <w:rPr>
                <w:rFonts w:hint="default" w:ascii="Times New Roman" w:hAnsi="Times New Roman" w:eastAsia="仿宋_GB2312" w:cs="Times New Roman"/>
                <w:color w:val="000000"/>
                <w:szCs w:val="24"/>
              </w:rPr>
              <w:t>.</w:t>
            </w:r>
            <w:r>
              <w:rPr>
                <w:rFonts w:hint="default" w:ascii="Times New Roman" w:hAnsi="Times New Roman" w:eastAsia="仿宋_GB2312" w:cs="Times New Roman"/>
                <w:color w:val="000000"/>
                <w:szCs w:val="24"/>
                <w:lang w:val="en-US" w:eastAsia="zh-CN"/>
              </w:rPr>
              <w:t>99</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2E8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53</w:t>
            </w:r>
            <w:r>
              <w:rPr>
                <w:rFonts w:hint="default" w:ascii="Times New Roman" w:hAnsi="Times New Roman" w:eastAsia="仿宋_GB2312" w:cs="Times New Roman"/>
                <w:color w:val="000000"/>
                <w:szCs w:val="24"/>
              </w:rPr>
              <w:t>.</w:t>
            </w:r>
            <w:r>
              <w:rPr>
                <w:rFonts w:hint="default" w:ascii="Times New Roman" w:hAnsi="Times New Roman" w:eastAsia="仿宋_GB2312" w:cs="Times New Roman"/>
                <w:color w:val="000000"/>
                <w:szCs w:val="24"/>
                <w:lang w:val="en-US" w:eastAsia="zh-CN"/>
              </w:rPr>
              <w:t>46</w:t>
            </w:r>
          </w:p>
        </w:tc>
      </w:tr>
      <w:tr w14:paraId="0A36330B">
        <w:tblPrEx>
          <w:tblCellMar>
            <w:top w:w="0" w:type="dxa"/>
            <w:left w:w="108" w:type="dxa"/>
            <w:bottom w:w="0" w:type="dxa"/>
            <w:right w:w="108" w:type="dxa"/>
          </w:tblCellMar>
        </w:tblPrEx>
        <w:trPr>
          <w:trHeight w:val="51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A27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生态控制区</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A86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6A0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E97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4821.13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614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20.88</w:t>
            </w:r>
          </w:p>
        </w:tc>
      </w:tr>
      <w:tr w14:paraId="164D1D30">
        <w:tblPrEx>
          <w:tblCellMar>
            <w:top w:w="0" w:type="dxa"/>
            <w:left w:w="108" w:type="dxa"/>
            <w:bottom w:w="0" w:type="dxa"/>
            <w:right w:w="108" w:type="dxa"/>
          </w:tblCellMar>
        </w:tblPrEx>
        <w:trPr>
          <w:trHeight w:val="51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87F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农田保护区</w:t>
            </w:r>
          </w:p>
        </w:tc>
        <w:tc>
          <w:tcPr>
            <w:tcW w:w="11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8B9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E04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008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168.76</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8E5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r>
              <w:rPr>
                <w:rFonts w:hint="default" w:ascii="Times New Roman" w:hAnsi="Times New Roman" w:eastAsia="仿宋_GB2312" w:cs="Times New Roman"/>
                <w:color w:val="000000"/>
                <w:szCs w:val="24"/>
              </w:rPr>
              <w:t>.</w:t>
            </w:r>
            <w:r>
              <w:rPr>
                <w:rFonts w:hint="default" w:ascii="Times New Roman" w:hAnsi="Times New Roman" w:eastAsia="仿宋_GB2312" w:cs="Times New Roman"/>
                <w:color w:val="000000"/>
                <w:szCs w:val="24"/>
                <w:lang w:val="en-US" w:eastAsia="zh-CN"/>
              </w:rPr>
              <w:t>73</w:t>
            </w:r>
          </w:p>
        </w:tc>
      </w:tr>
      <w:tr w14:paraId="7B7350E8">
        <w:tblPrEx>
          <w:tblCellMar>
            <w:top w:w="0" w:type="dxa"/>
            <w:left w:w="108" w:type="dxa"/>
            <w:bottom w:w="0" w:type="dxa"/>
            <w:right w:w="108" w:type="dxa"/>
          </w:tblCellMar>
        </w:tblPrEx>
        <w:trPr>
          <w:trHeight w:val="510" w:hRule="atLeast"/>
        </w:trPr>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B1A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城镇发展区</w:t>
            </w:r>
          </w:p>
        </w:tc>
        <w:tc>
          <w:tcPr>
            <w:tcW w:w="11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607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城镇集中建设区</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BDF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居住生活区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0FD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4.80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082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0.02</w:t>
            </w:r>
          </w:p>
        </w:tc>
      </w:tr>
      <w:tr w14:paraId="256A9F24">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BDD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4CF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105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综合服务区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254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2.00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5D9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0.01</w:t>
            </w:r>
          </w:p>
        </w:tc>
      </w:tr>
      <w:tr w14:paraId="20F40095">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80C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424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3B7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商业商务区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7E4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1.33</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C6E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0.01</w:t>
            </w:r>
          </w:p>
        </w:tc>
      </w:tr>
      <w:tr w14:paraId="60655E09">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C77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B2F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368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工业发展区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E4E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0.82</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807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0.00</w:t>
            </w:r>
          </w:p>
        </w:tc>
      </w:tr>
      <w:tr w14:paraId="17778A34">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297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181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83C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物流仓储区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3EB5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358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0.00</w:t>
            </w:r>
          </w:p>
        </w:tc>
      </w:tr>
      <w:tr w14:paraId="7DC5CBD0">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323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64C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50C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绿地休闲区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C48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1.48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353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0.01</w:t>
            </w:r>
          </w:p>
        </w:tc>
      </w:tr>
      <w:tr w14:paraId="2BF33396">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9B8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75A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10D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交通枢纽区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249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1.20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0D4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0.00</w:t>
            </w:r>
          </w:p>
        </w:tc>
      </w:tr>
      <w:tr w14:paraId="35186F52">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B16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BD2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0CC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战略预留区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4CD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2.18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9C8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0.01</w:t>
            </w:r>
          </w:p>
        </w:tc>
      </w:tr>
      <w:tr w14:paraId="0831158A">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8A5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F52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61C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其他城镇建设</w:t>
            </w:r>
            <w:r>
              <w:rPr>
                <w:rFonts w:hint="eastAsia" w:ascii="Times New Roman" w:hAnsi="Times New Roman" w:cs="Times New Roman"/>
                <w:color w:val="000000"/>
                <w:szCs w:val="24"/>
                <w:lang w:eastAsia="zh-CN"/>
              </w:rPr>
              <w:t>用</w:t>
            </w:r>
            <w:r>
              <w:rPr>
                <w:rFonts w:hint="default" w:ascii="Times New Roman" w:hAnsi="Times New Roman" w:eastAsia="仿宋_GB2312" w:cs="Times New Roman"/>
                <w:color w:val="000000"/>
                <w:szCs w:val="24"/>
              </w:rPr>
              <w:t>地区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56E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CED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0.00</w:t>
            </w:r>
          </w:p>
        </w:tc>
      </w:tr>
      <w:tr w14:paraId="1582342E">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B8B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1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ACF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3C7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合计</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B46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13.81</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3CA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0.06</w:t>
            </w:r>
          </w:p>
        </w:tc>
      </w:tr>
      <w:tr w14:paraId="5F03A965">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723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2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BAD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城镇弹性建设区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E7AE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59C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0.00</w:t>
            </w:r>
          </w:p>
        </w:tc>
      </w:tr>
      <w:tr w14:paraId="5FE1E3C6">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09F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2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868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特别用途区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E0A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0</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938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0.00</w:t>
            </w:r>
          </w:p>
        </w:tc>
      </w:tr>
      <w:tr w14:paraId="5C5FEFA0">
        <w:tblPrEx>
          <w:tblCellMar>
            <w:top w:w="0" w:type="dxa"/>
            <w:left w:w="108" w:type="dxa"/>
            <w:bottom w:w="0" w:type="dxa"/>
            <w:right w:w="108" w:type="dxa"/>
          </w:tblCellMar>
        </w:tblPrEx>
        <w:trPr>
          <w:trHeight w:val="510" w:hRule="atLeast"/>
        </w:trPr>
        <w:tc>
          <w:tcPr>
            <w:tcW w:w="11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D6B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乡村发展区</w:t>
            </w:r>
          </w:p>
        </w:tc>
        <w:tc>
          <w:tcPr>
            <w:tcW w:w="2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97E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村庄建设区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01DA">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60.98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A8D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0.26</w:t>
            </w:r>
          </w:p>
        </w:tc>
      </w:tr>
      <w:tr w14:paraId="22848848">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86B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2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8DE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一般农业区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E67C">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678.07</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2002">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2.94</w:t>
            </w:r>
          </w:p>
        </w:tc>
      </w:tr>
      <w:tr w14:paraId="4732A1A6">
        <w:tblPrEx>
          <w:tblCellMar>
            <w:top w:w="0" w:type="dxa"/>
            <w:left w:w="108" w:type="dxa"/>
            <w:bottom w:w="0" w:type="dxa"/>
            <w:right w:w="108" w:type="dxa"/>
          </w:tblCellMar>
        </w:tblPrEx>
        <w:trPr>
          <w:trHeight w:val="510" w:hRule="atLeast"/>
        </w:trPr>
        <w:tc>
          <w:tcPr>
            <w:tcW w:w="11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C22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p>
        </w:tc>
        <w:tc>
          <w:tcPr>
            <w:tcW w:w="2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276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林业发展区</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48B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4974.48</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BE78">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21.54</w:t>
            </w:r>
          </w:p>
        </w:tc>
      </w:tr>
      <w:tr w14:paraId="3378B74C">
        <w:tblPrEx>
          <w:tblCellMar>
            <w:top w:w="0" w:type="dxa"/>
            <w:left w:w="108" w:type="dxa"/>
            <w:bottom w:w="0" w:type="dxa"/>
            <w:right w:w="108" w:type="dxa"/>
          </w:tblCellMar>
        </w:tblPrEx>
        <w:trPr>
          <w:trHeight w:val="51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9A3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矿产能源发展区</w:t>
            </w:r>
          </w:p>
        </w:tc>
        <w:tc>
          <w:tcPr>
            <w:tcW w:w="2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259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FF4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29.94</w:t>
            </w:r>
          </w:p>
        </w:tc>
        <w:tc>
          <w:tcPr>
            <w:tcW w:w="6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802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0.</w:t>
            </w:r>
            <w:r>
              <w:rPr>
                <w:rFonts w:hint="default" w:ascii="Times New Roman" w:hAnsi="Times New Roman" w:eastAsia="仿宋_GB2312" w:cs="Times New Roman"/>
                <w:color w:val="000000"/>
                <w:szCs w:val="24"/>
                <w:lang w:val="en-US" w:eastAsia="zh-CN"/>
              </w:rPr>
              <w:t>13</w:t>
            </w:r>
          </w:p>
        </w:tc>
      </w:tr>
    </w:tbl>
    <w:p w14:paraId="4BD76AF5">
      <w:pPr>
        <w:spacing w:after="156"/>
        <w:ind w:firstLine="0" w:firstLineChars="0"/>
        <w:rPr>
          <w:rFonts w:ascii="Times New Roman" w:hAnsi="Times New Roman" w:cs="Times New Roman"/>
        </w:rPr>
      </w:pPr>
    </w:p>
    <w:p w14:paraId="618566C9">
      <w:pPr>
        <w:pStyle w:val="2"/>
        <w:spacing w:after="204"/>
        <w:ind w:firstLine="560"/>
        <w:rPr>
          <w:rFonts w:cs="Times New Roman"/>
        </w:rPr>
      </w:pPr>
    </w:p>
    <w:p w14:paraId="175BB3CC">
      <w:pPr>
        <w:spacing w:line="240" w:lineRule="atLeast"/>
        <w:ind w:firstLine="120"/>
        <w:rPr>
          <w:sz w:val="6"/>
          <w:szCs w:val="6"/>
        </w:rPr>
      </w:pPr>
    </w:p>
    <w:p w14:paraId="2C900563">
      <w:pPr>
        <w:pStyle w:val="10"/>
        <w:tabs>
          <w:tab w:val="left" w:pos="420"/>
        </w:tabs>
        <w:spacing w:line="240" w:lineRule="auto"/>
        <w:outlineLvl w:val="0"/>
        <w:rPr>
          <w:rFonts w:cs="黑体"/>
          <w:b/>
          <w:bCs/>
          <w:sz w:val="30"/>
          <w:szCs w:val="30"/>
        </w:rPr>
      </w:pPr>
      <w:bookmarkStart w:id="138" w:name="_Toc21054"/>
      <w:bookmarkStart w:id="139" w:name="_Toc2285"/>
      <w:r>
        <w:rPr>
          <w:rFonts w:hint="eastAsia" w:cs="黑体"/>
          <w:b/>
          <w:bCs/>
          <w:sz w:val="30"/>
          <w:szCs w:val="30"/>
        </w:rPr>
        <w:t xml:space="preserve">表4  </w:t>
      </w:r>
      <w:r>
        <w:rPr>
          <w:rFonts w:hint="eastAsia" w:cs="黑体"/>
          <w:b/>
          <w:bCs/>
          <w:sz w:val="30"/>
          <w:szCs w:val="30"/>
          <w:lang w:eastAsia="zh-CN"/>
        </w:rPr>
        <w:t>红花铺镇</w:t>
      </w:r>
      <w:r>
        <w:rPr>
          <w:rFonts w:hint="eastAsia" w:cs="黑体"/>
          <w:b/>
          <w:bCs/>
          <w:sz w:val="30"/>
          <w:szCs w:val="30"/>
        </w:rPr>
        <w:t>规划指标分解表（2035年）</w:t>
      </w:r>
      <w:bookmarkEnd w:id="138"/>
      <w:bookmarkEnd w:id="139"/>
    </w:p>
    <w:p w14:paraId="2201C2E6">
      <w:pPr>
        <w:pStyle w:val="24"/>
        <w:spacing w:beforeAutospacing="0" w:afterAutospacing="0" w:line="240" w:lineRule="atLeast"/>
        <w:ind w:firstLine="0" w:firstLineChars="0"/>
        <w:jc w:val="right"/>
        <w:rPr>
          <w:rFonts w:ascii="仿宋" w:hAnsi="仿宋" w:eastAsia="仿宋" w:cs="仿宋"/>
          <w:color w:val="000000"/>
          <w:szCs w:val="24"/>
        </w:rPr>
      </w:pPr>
      <w:r>
        <w:rPr>
          <w:rFonts w:hint="eastAsia" w:ascii="仿宋" w:hAnsi="仿宋" w:eastAsia="仿宋" w:cs="仿宋"/>
          <w:color w:val="000000"/>
          <w:szCs w:val="24"/>
        </w:rPr>
        <w:t>单位：公顷</w:t>
      </w:r>
    </w:p>
    <w:tbl>
      <w:tblPr>
        <w:tblStyle w:val="27"/>
        <w:tblW w:w="4997" w:type="pct"/>
        <w:tblInd w:w="0" w:type="dxa"/>
        <w:tblLayout w:type="autofit"/>
        <w:tblCellMar>
          <w:top w:w="0" w:type="dxa"/>
          <w:left w:w="108" w:type="dxa"/>
          <w:bottom w:w="0" w:type="dxa"/>
          <w:right w:w="108" w:type="dxa"/>
        </w:tblCellMar>
      </w:tblPr>
      <w:tblGrid>
        <w:gridCol w:w="2135"/>
        <w:gridCol w:w="1980"/>
        <w:gridCol w:w="2626"/>
        <w:gridCol w:w="2144"/>
      </w:tblGrid>
      <w:tr w14:paraId="1E949B92">
        <w:tblPrEx>
          <w:tblCellMar>
            <w:top w:w="0" w:type="dxa"/>
            <w:left w:w="108" w:type="dxa"/>
            <w:bottom w:w="0" w:type="dxa"/>
            <w:right w:w="108" w:type="dxa"/>
          </w:tblCellMar>
        </w:tblPrEx>
        <w:trPr>
          <w:trHeight w:val="701" w:hRule="atLeast"/>
        </w:trPr>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1C28">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行政村</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9D9A">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耕地保有量</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E4A6">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永久基本农田保护面积</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E7D7">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生态保护红线面积</w:t>
            </w:r>
          </w:p>
        </w:tc>
      </w:tr>
      <w:tr w14:paraId="20F43F0E">
        <w:tblPrEx>
          <w:tblCellMar>
            <w:top w:w="0" w:type="dxa"/>
            <w:left w:w="108" w:type="dxa"/>
            <w:bottom w:w="0" w:type="dxa"/>
            <w:right w:w="108" w:type="dxa"/>
          </w:tblCellMar>
        </w:tblPrEx>
        <w:trPr>
          <w:trHeight w:val="454" w:hRule="atLeast"/>
        </w:trPr>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D3B7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永生村</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4C4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46.37</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582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43.09</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1ECE">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888.92</w:t>
            </w:r>
          </w:p>
        </w:tc>
      </w:tr>
      <w:tr w14:paraId="6A07DFAC">
        <w:tblPrEx>
          <w:tblCellMar>
            <w:top w:w="0" w:type="dxa"/>
            <w:left w:w="108" w:type="dxa"/>
            <w:bottom w:w="0" w:type="dxa"/>
            <w:right w:w="108" w:type="dxa"/>
          </w:tblCellMar>
        </w:tblPrEx>
        <w:trPr>
          <w:trHeight w:val="454" w:hRule="atLeast"/>
        </w:trPr>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0C0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红花铺村</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2DC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37.00</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9E2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27.82</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59BD">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1464.21</w:t>
            </w:r>
          </w:p>
        </w:tc>
      </w:tr>
      <w:tr w14:paraId="008E9FD5">
        <w:tblPrEx>
          <w:tblCellMar>
            <w:top w:w="0" w:type="dxa"/>
            <w:left w:w="108" w:type="dxa"/>
            <w:bottom w:w="0" w:type="dxa"/>
            <w:right w:w="108" w:type="dxa"/>
          </w:tblCellMar>
        </w:tblPrEx>
        <w:trPr>
          <w:trHeight w:val="454" w:hRule="atLeast"/>
        </w:trPr>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D095">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草凉驿村</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02E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lang w:val="en-US" w:eastAsia="zh-CN"/>
              </w:rPr>
              <w:t>88.95</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95C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66.45</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9C3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3399.51</w:t>
            </w:r>
          </w:p>
        </w:tc>
      </w:tr>
      <w:tr w14:paraId="68DB5B05">
        <w:tblPrEx>
          <w:tblCellMar>
            <w:top w:w="0" w:type="dxa"/>
            <w:left w:w="108" w:type="dxa"/>
            <w:bottom w:w="0" w:type="dxa"/>
            <w:right w:w="108" w:type="dxa"/>
          </w:tblCellMar>
        </w:tblPrEx>
        <w:trPr>
          <w:trHeight w:val="454" w:hRule="atLeast"/>
        </w:trPr>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DD5B">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白家店村</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29F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29.26</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A19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22.67</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EE49">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406.57</w:t>
            </w:r>
          </w:p>
        </w:tc>
      </w:tr>
      <w:tr w14:paraId="1E2D07A5">
        <w:tblPrEx>
          <w:tblCellMar>
            <w:top w:w="0" w:type="dxa"/>
            <w:left w:w="108" w:type="dxa"/>
            <w:bottom w:w="0" w:type="dxa"/>
            <w:right w:w="108" w:type="dxa"/>
          </w:tblCellMar>
        </w:tblPrEx>
        <w:trPr>
          <w:trHeight w:val="454" w:hRule="atLeast"/>
        </w:trPr>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7DE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黄牛铺林场</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246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0.31</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660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0.30</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A96F">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4313.45</w:t>
            </w:r>
          </w:p>
        </w:tc>
      </w:tr>
      <w:tr w14:paraId="218C869C">
        <w:tblPrEx>
          <w:tblCellMar>
            <w:top w:w="0" w:type="dxa"/>
            <w:left w:w="108" w:type="dxa"/>
            <w:bottom w:w="0" w:type="dxa"/>
            <w:right w:w="108" w:type="dxa"/>
          </w:tblCellMar>
        </w:tblPrEx>
        <w:trPr>
          <w:trHeight w:val="454" w:hRule="atLeast"/>
        </w:trPr>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CC81">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凤洲林场</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C4C3">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0</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68C6">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0</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B4F0">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1873.33</w:t>
            </w:r>
          </w:p>
        </w:tc>
      </w:tr>
      <w:tr w14:paraId="3E7B0586">
        <w:tblPrEx>
          <w:tblCellMar>
            <w:top w:w="0" w:type="dxa"/>
            <w:left w:w="108" w:type="dxa"/>
            <w:bottom w:w="0" w:type="dxa"/>
            <w:right w:w="108" w:type="dxa"/>
          </w:tblCellMar>
        </w:tblPrEx>
        <w:trPr>
          <w:trHeight w:val="454" w:hRule="atLeast"/>
        </w:trPr>
        <w:tc>
          <w:tcPr>
            <w:tcW w:w="12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FA05">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合计</w:t>
            </w:r>
          </w:p>
        </w:tc>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E831">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201.89</w:t>
            </w:r>
          </w:p>
        </w:tc>
        <w:tc>
          <w:tcPr>
            <w:tcW w:w="1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B375">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160.33</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62BD">
            <w:pPr>
              <w:pStyle w:val="24"/>
              <w:spacing w:beforeAutospacing="0" w:afterAutospacing="0" w:line="240" w:lineRule="auto"/>
              <w:ind w:firstLine="0" w:firstLineChars="0"/>
              <w:jc w:val="center"/>
              <w:rPr>
                <w:rFonts w:hint="default" w:ascii="Times New Roman" w:hAnsi="Times New Roman" w:eastAsia="仿宋_GB2312" w:cs="Times New Roman"/>
                <w:b/>
                <w:bCs/>
                <w:color w:val="000000"/>
                <w:szCs w:val="24"/>
              </w:rPr>
            </w:pPr>
            <w:r>
              <w:rPr>
                <w:rFonts w:hint="default" w:ascii="Times New Roman" w:hAnsi="Times New Roman" w:eastAsia="仿宋_GB2312" w:cs="Times New Roman"/>
                <w:b/>
                <w:bCs/>
                <w:color w:val="000000"/>
                <w:szCs w:val="24"/>
              </w:rPr>
              <w:t>12345.99</w:t>
            </w:r>
          </w:p>
        </w:tc>
      </w:tr>
    </w:tbl>
    <w:p w14:paraId="4E827C11">
      <w:pPr>
        <w:ind w:firstLine="600"/>
      </w:pPr>
    </w:p>
    <w:p w14:paraId="0374774D">
      <w:pPr>
        <w:pStyle w:val="2"/>
        <w:spacing w:after="204"/>
        <w:ind w:firstLine="560"/>
      </w:pPr>
    </w:p>
    <w:p w14:paraId="3082433F">
      <w:pPr>
        <w:ind w:firstLine="600"/>
      </w:pPr>
    </w:p>
    <w:p w14:paraId="11B0C66F">
      <w:pPr>
        <w:pStyle w:val="2"/>
        <w:spacing w:after="204"/>
        <w:ind w:firstLine="560"/>
      </w:pPr>
    </w:p>
    <w:p w14:paraId="64E8E022">
      <w:pPr>
        <w:ind w:firstLine="600"/>
      </w:pPr>
    </w:p>
    <w:p w14:paraId="72B2D5B5">
      <w:pPr>
        <w:pStyle w:val="2"/>
        <w:spacing w:after="204"/>
        <w:ind w:firstLine="560"/>
      </w:pPr>
    </w:p>
    <w:p w14:paraId="25970817">
      <w:pPr>
        <w:ind w:firstLine="600"/>
      </w:pPr>
    </w:p>
    <w:p w14:paraId="651497CB">
      <w:pPr>
        <w:pStyle w:val="2"/>
      </w:pPr>
    </w:p>
    <w:p w14:paraId="0F73F9EF"/>
    <w:p w14:paraId="34BDBEA6">
      <w:pPr>
        <w:pStyle w:val="2"/>
      </w:pPr>
    </w:p>
    <w:p w14:paraId="117300FC">
      <w:pPr>
        <w:pStyle w:val="2"/>
        <w:spacing w:after="204"/>
        <w:ind w:firstLine="560"/>
      </w:pPr>
    </w:p>
    <w:p w14:paraId="0E157F4A">
      <w:pPr>
        <w:ind w:firstLine="600"/>
      </w:pPr>
    </w:p>
    <w:p w14:paraId="0E607AD6">
      <w:pPr>
        <w:pStyle w:val="2"/>
        <w:spacing w:after="204"/>
        <w:ind w:firstLine="560"/>
      </w:pPr>
    </w:p>
    <w:p w14:paraId="34F040AF">
      <w:pPr>
        <w:spacing w:line="240" w:lineRule="atLeast"/>
        <w:ind w:firstLine="120"/>
        <w:rPr>
          <w:sz w:val="6"/>
          <w:szCs w:val="6"/>
        </w:rPr>
      </w:pPr>
    </w:p>
    <w:p w14:paraId="67E8BF0F">
      <w:pPr>
        <w:pStyle w:val="10"/>
        <w:tabs>
          <w:tab w:val="left" w:pos="420"/>
        </w:tabs>
        <w:spacing w:line="240" w:lineRule="auto"/>
        <w:outlineLvl w:val="0"/>
        <w:rPr>
          <w:rFonts w:cs="黑体"/>
          <w:b/>
          <w:bCs/>
          <w:sz w:val="30"/>
          <w:szCs w:val="30"/>
        </w:rPr>
      </w:pPr>
      <w:bookmarkStart w:id="140" w:name="_Toc15924"/>
      <w:bookmarkStart w:id="141" w:name="_Toc16450"/>
      <w:r>
        <w:rPr>
          <w:rFonts w:hint="eastAsia" w:cs="黑体"/>
          <w:b/>
          <w:bCs/>
          <w:sz w:val="30"/>
          <w:szCs w:val="30"/>
        </w:rPr>
        <w:t xml:space="preserve">表5  </w:t>
      </w:r>
      <w:r>
        <w:rPr>
          <w:rFonts w:hint="eastAsia" w:cs="黑体"/>
          <w:b/>
          <w:bCs/>
          <w:sz w:val="30"/>
          <w:szCs w:val="30"/>
          <w:lang w:eastAsia="zh-CN"/>
        </w:rPr>
        <w:t>红花铺镇</w:t>
      </w:r>
      <w:r>
        <w:rPr>
          <w:rFonts w:hint="eastAsia" w:cs="黑体"/>
          <w:b/>
          <w:bCs/>
          <w:sz w:val="30"/>
          <w:szCs w:val="30"/>
        </w:rPr>
        <w:t>重点建设项目安排表</w:t>
      </w:r>
      <w:bookmarkEnd w:id="140"/>
      <w:bookmarkEnd w:id="141"/>
    </w:p>
    <w:p w14:paraId="2FC68515">
      <w:pPr>
        <w:pStyle w:val="24"/>
        <w:spacing w:beforeAutospacing="0" w:afterAutospacing="0" w:line="240" w:lineRule="atLeast"/>
        <w:ind w:firstLine="0" w:firstLineChars="0"/>
        <w:jc w:val="right"/>
        <w:rPr>
          <w:rFonts w:ascii="仿宋" w:hAnsi="仿宋" w:eastAsia="仿宋" w:cs="仿宋"/>
          <w:color w:val="000000"/>
          <w:szCs w:val="24"/>
        </w:rPr>
      </w:pPr>
      <w:r>
        <w:rPr>
          <w:rFonts w:hint="eastAsia" w:ascii="仿宋" w:hAnsi="仿宋" w:eastAsia="仿宋" w:cs="仿宋"/>
          <w:color w:val="000000"/>
          <w:szCs w:val="24"/>
        </w:rPr>
        <w:t>单位：公顷</w:t>
      </w:r>
    </w:p>
    <w:tbl>
      <w:tblPr>
        <w:tblStyle w:val="27"/>
        <w:tblW w:w="5078" w:type="pct"/>
        <w:jc w:val="center"/>
        <w:tblLayout w:type="fixed"/>
        <w:tblCellMar>
          <w:top w:w="0" w:type="dxa"/>
          <w:left w:w="108" w:type="dxa"/>
          <w:bottom w:w="0" w:type="dxa"/>
          <w:right w:w="108" w:type="dxa"/>
        </w:tblCellMar>
      </w:tblPr>
      <w:tblGrid>
        <w:gridCol w:w="647"/>
        <w:gridCol w:w="805"/>
        <w:gridCol w:w="3879"/>
        <w:gridCol w:w="737"/>
        <w:gridCol w:w="1186"/>
        <w:gridCol w:w="692"/>
        <w:gridCol w:w="1083"/>
      </w:tblGrid>
      <w:tr w14:paraId="1CDD3CE3">
        <w:tblPrEx>
          <w:tblCellMar>
            <w:top w:w="0" w:type="dxa"/>
            <w:left w:w="108" w:type="dxa"/>
            <w:bottom w:w="0" w:type="dxa"/>
            <w:right w:w="108" w:type="dxa"/>
          </w:tblCellMar>
        </w:tblPrEx>
        <w:trPr>
          <w:trHeight w:val="283" w:hRule="atLeast"/>
          <w:tblHeader/>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EA13">
            <w:pPr>
              <w:spacing w:line="240" w:lineRule="auto"/>
              <w:ind w:firstLine="0" w:firstLineChars="0"/>
              <w:jc w:val="center"/>
              <w:textAlignment w:val="center"/>
              <w:rPr>
                <w:rFonts w:ascii="仿宋_GB2312" w:hAnsi="宋体" w:cs="仿宋_GB2312"/>
                <w:b/>
                <w:bCs/>
                <w:color w:val="auto"/>
                <w:sz w:val="21"/>
                <w:szCs w:val="21"/>
                <w:highlight w:val="none"/>
              </w:rPr>
            </w:pPr>
            <w:r>
              <w:rPr>
                <w:rFonts w:hint="eastAsia" w:ascii="仿宋_GB2312" w:hAnsi="宋体" w:cs="仿宋_GB2312"/>
                <w:b/>
                <w:bCs/>
                <w:color w:val="auto"/>
                <w:kern w:val="0"/>
                <w:sz w:val="21"/>
                <w:szCs w:val="21"/>
                <w:highlight w:val="none"/>
                <w:lang w:bidi="ar"/>
              </w:rPr>
              <w:t>序号</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1F1C">
            <w:pPr>
              <w:spacing w:line="240" w:lineRule="auto"/>
              <w:ind w:firstLine="0" w:firstLineChars="0"/>
              <w:jc w:val="center"/>
              <w:textAlignment w:val="center"/>
              <w:rPr>
                <w:rFonts w:ascii="仿宋_GB2312" w:hAnsi="宋体" w:cs="仿宋_GB2312"/>
                <w:b/>
                <w:bCs/>
                <w:color w:val="auto"/>
                <w:sz w:val="21"/>
                <w:szCs w:val="21"/>
                <w:highlight w:val="none"/>
              </w:rPr>
            </w:pPr>
            <w:r>
              <w:rPr>
                <w:rFonts w:hint="eastAsia" w:ascii="仿宋_GB2312" w:hAnsi="宋体" w:cs="仿宋_GB2312"/>
                <w:b/>
                <w:bCs/>
                <w:color w:val="auto"/>
                <w:kern w:val="0"/>
                <w:sz w:val="21"/>
                <w:szCs w:val="21"/>
                <w:highlight w:val="none"/>
                <w:lang w:bidi="ar"/>
              </w:rPr>
              <w:t>项目类型</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E311">
            <w:pPr>
              <w:spacing w:line="240" w:lineRule="auto"/>
              <w:ind w:firstLine="0" w:firstLineChars="0"/>
              <w:jc w:val="center"/>
              <w:textAlignment w:val="center"/>
              <w:rPr>
                <w:rFonts w:ascii="仿宋_GB2312" w:hAnsi="宋体" w:cs="仿宋_GB2312"/>
                <w:b/>
                <w:bCs/>
                <w:color w:val="auto"/>
                <w:sz w:val="21"/>
                <w:szCs w:val="21"/>
                <w:highlight w:val="none"/>
              </w:rPr>
            </w:pPr>
            <w:r>
              <w:rPr>
                <w:rFonts w:hint="eastAsia" w:ascii="仿宋_GB2312" w:hAnsi="宋体" w:cs="仿宋_GB2312"/>
                <w:b/>
                <w:bCs/>
                <w:color w:val="auto"/>
                <w:kern w:val="0"/>
                <w:sz w:val="21"/>
                <w:szCs w:val="21"/>
                <w:highlight w:val="none"/>
                <w:lang w:bidi="ar"/>
              </w:rPr>
              <w:t>项目名称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3C0D">
            <w:pPr>
              <w:spacing w:line="240" w:lineRule="auto"/>
              <w:ind w:firstLine="0" w:firstLineChars="0"/>
              <w:jc w:val="center"/>
              <w:textAlignment w:val="center"/>
              <w:rPr>
                <w:rFonts w:ascii="仿宋_GB2312" w:hAnsi="宋体" w:cs="仿宋_GB2312"/>
                <w:b/>
                <w:bCs/>
                <w:color w:val="auto"/>
                <w:sz w:val="21"/>
                <w:szCs w:val="21"/>
                <w:highlight w:val="none"/>
              </w:rPr>
            </w:pPr>
            <w:r>
              <w:rPr>
                <w:rFonts w:hint="eastAsia" w:ascii="仿宋_GB2312" w:hAnsi="宋体" w:cs="仿宋_GB2312"/>
                <w:b/>
                <w:bCs/>
                <w:color w:val="auto"/>
                <w:kern w:val="0"/>
                <w:sz w:val="21"/>
                <w:szCs w:val="21"/>
                <w:highlight w:val="none"/>
                <w:lang w:bidi="ar"/>
              </w:rPr>
              <w:t>性质建设</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1FC6">
            <w:pPr>
              <w:spacing w:line="240" w:lineRule="auto"/>
              <w:ind w:firstLine="0" w:firstLineChars="0"/>
              <w:jc w:val="center"/>
              <w:textAlignment w:val="center"/>
              <w:rPr>
                <w:rFonts w:ascii="仿宋_GB2312" w:hAnsi="宋体" w:cs="仿宋_GB2312"/>
                <w:b/>
                <w:bCs/>
                <w:color w:val="auto"/>
                <w:sz w:val="21"/>
                <w:szCs w:val="21"/>
                <w:highlight w:val="none"/>
              </w:rPr>
            </w:pPr>
            <w:r>
              <w:rPr>
                <w:rFonts w:hint="eastAsia" w:ascii="仿宋_GB2312" w:hAnsi="宋体" w:cs="仿宋_GB2312"/>
                <w:b/>
                <w:bCs/>
                <w:color w:val="auto"/>
                <w:kern w:val="0"/>
                <w:sz w:val="21"/>
                <w:szCs w:val="21"/>
                <w:highlight w:val="none"/>
                <w:lang w:bidi="ar"/>
              </w:rPr>
              <w:t>建设年限</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A874">
            <w:pPr>
              <w:spacing w:line="240" w:lineRule="auto"/>
              <w:ind w:firstLine="0" w:firstLineChars="0"/>
              <w:jc w:val="center"/>
              <w:textAlignment w:val="center"/>
              <w:rPr>
                <w:rFonts w:ascii="仿宋_GB2312" w:hAnsi="宋体" w:cs="仿宋_GB2312"/>
                <w:b/>
                <w:bCs/>
                <w:color w:val="auto"/>
                <w:sz w:val="21"/>
                <w:szCs w:val="21"/>
                <w:highlight w:val="none"/>
              </w:rPr>
            </w:pPr>
            <w:r>
              <w:rPr>
                <w:rFonts w:hint="eastAsia" w:ascii="仿宋_GB2312" w:hAnsi="宋体" w:cs="仿宋_GB2312"/>
                <w:b/>
                <w:bCs/>
                <w:color w:val="auto"/>
                <w:kern w:val="0"/>
                <w:sz w:val="21"/>
                <w:szCs w:val="21"/>
                <w:highlight w:val="none"/>
                <w:lang w:bidi="ar"/>
              </w:rPr>
              <w:t>建设规模</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4761">
            <w:pPr>
              <w:spacing w:line="240" w:lineRule="auto"/>
              <w:ind w:firstLine="0" w:firstLineChars="0"/>
              <w:jc w:val="center"/>
              <w:textAlignment w:val="center"/>
              <w:rPr>
                <w:rFonts w:ascii="仿宋_GB2312" w:hAnsi="宋体" w:cs="仿宋_GB2312"/>
                <w:b/>
                <w:bCs/>
                <w:color w:val="auto"/>
                <w:sz w:val="21"/>
                <w:szCs w:val="21"/>
                <w:highlight w:val="none"/>
              </w:rPr>
            </w:pPr>
            <w:r>
              <w:rPr>
                <w:rFonts w:hint="eastAsia" w:ascii="仿宋_GB2312" w:hAnsi="宋体" w:cs="仿宋_GB2312"/>
                <w:b/>
                <w:bCs/>
                <w:color w:val="auto"/>
                <w:kern w:val="0"/>
                <w:sz w:val="21"/>
                <w:szCs w:val="21"/>
                <w:highlight w:val="none"/>
                <w:lang w:bidi="ar"/>
              </w:rPr>
              <w:t>所在行政村</w:t>
            </w:r>
          </w:p>
        </w:tc>
      </w:tr>
      <w:tr w14:paraId="7B91E4F0">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DD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36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交通</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85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红唐双公路红花铺至三岔河段改建工程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59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改</w:t>
            </w:r>
            <w:r>
              <w:rPr>
                <w:rFonts w:hint="eastAsia" w:ascii="仿宋_GB2312" w:hAnsi="宋体" w:eastAsia="仿宋_GB2312" w:cs="仿宋_GB2312"/>
                <w:i w:val="0"/>
                <w:iCs w:val="0"/>
                <w:color w:val="auto"/>
                <w:kern w:val="0"/>
                <w:sz w:val="21"/>
                <w:szCs w:val="21"/>
                <w:highlight w:val="none"/>
                <w:u w:val="none"/>
                <w:lang w:val="en-US" w:eastAsia="zh-CN" w:bidi="ar"/>
              </w:rPr>
              <w:t>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44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2024-2025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A9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96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全镇</w:t>
            </w:r>
          </w:p>
        </w:tc>
      </w:tr>
      <w:tr w14:paraId="5335CBC4">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3B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F7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水利</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FC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嘉陵江凤县黄牛铺镇、红花铺镇段防洪治理工程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D6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C2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2021-2024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F3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6.7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CA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全镇</w:t>
            </w:r>
          </w:p>
        </w:tc>
      </w:tr>
      <w:tr w14:paraId="4E65B121">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F9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F5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水利</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66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嘉陵江凤县段防洪工程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96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E1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2024-2035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AB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23.3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08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全镇</w:t>
            </w:r>
          </w:p>
        </w:tc>
      </w:tr>
      <w:tr w14:paraId="3D10C631">
        <w:tblPrEx>
          <w:tblCellMar>
            <w:top w:w="0" w:type="dxa"/>
            <w:left w:w="108" w:type="dxa"/>
            <w:bottom w:w="0" w:type="dxa"/>
            <w:right w:w="108" w:type="dxa"/>
          </w:tblCellMar>
        </w:tblPrEx>
        <w:trPr>
          <w:trHeight w:val="30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E9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97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水利</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36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凤县龙王沟山洪沟治理工程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72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81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2024-2035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7C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83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草凉驿村</w:t>
            </w:r>
          </w:p>
        </w:tc>
      </w:tr>
      <w:tr w14:paraId="2DAA8D5B">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CF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C0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电力</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DE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草凉驿35kv变电站</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AE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6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2022-2025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3D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0.03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08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草凉驿村</w:t>
            </w:r>
          </w:p>
        </w:tc>
      </w:tr>
      <w:tr w14:paraId="7DEDFDCF">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77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77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环保</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20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红花铺镇河岸线生态治理项目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DB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70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9E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7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全镇</w:t>
            </w:r>
          </w:p>
        </w:tc>
      </w:tr>
      <w:tr w14:paraId="28FDE065">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6D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09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教育</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E5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红花铺红花郎青少年劳动教育实践基地项目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2C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19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F7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5.63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BD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w:t>
            </w:r>
            <w:r>
              <w:rPr>
                <w:rFonts w:hint="eastAsia" w:ascii="仿宋_GB2312" w:hAnsi="宋体" w:cs="仿宋_GB2312"/>
                <w:i w:val="0"/>
                <w:iCs w:val="0"/>
                <w:color w:val="auto"/>
                <w:kern w:val="0"/>
                <w:sz w:val="21"/>
                <w:szCs w:val="21"/>
                <w:highlight w:val="none"/>
                <w:u w:val="none"/>
                <w:lang w:val="en-US" w:eastAsia="zh-CN" w:bidi="ar"/>
              </w:rPr>
              <w:t>村</w:t>
            </w:r>
          </w:p>
        </w:tc>
      </w:tr>
      <w:tr w14:paraId="482C68ED">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78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DE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文化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A8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红花铺镇岭南桃源自驾营地项目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8D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A3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AC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3.47</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01B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w:t>
            </w:r>
            <w:r>
              <w:rPr>
                <w:rFonts w:hint="eastAsia" w:ascii="仿宋_GB2312" w:hAnsi="宋体" w:cs="仿宋_GB2312"/>
                <w:i w:val="0"/>
                <w:iCs w:val="0"/>
                <w:color w:val="auto"/>
                <w:kern w:val="0"/>
                <w:sz w:val="21"/>
                <w:szCs w:val="21"/>
                <w:highlight w:val="none"/>
                <w:u w:val="none"/>
                <w:lang w:val="en-US" w:eastAsia="zh-CN" w:bidi="ar"/>
              </w:rPr>
              <w:t>村</w:t>
            </w:r>
          </w:p>
        </w:tc>
      </w:tr>
      <w:tr w14:paraId="479C86D8">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35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F5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康养</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96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凤县岭南福寿休闲度假区项目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16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80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2022-2025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8D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6.52</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83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红花铺镇</w:t>
            </w:r>
          </w:p>
        </w:tc>
      </w:tr>
      <w:tr w14:paraId="15B4459A">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0C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DD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康养</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C8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凤县永生康养中心项目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D1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82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2022-2025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E6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4.25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B5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永生村</w:t>
            </w:r>
          </w:p>
        </w:tc>
      </w:tr>
      <w:tr w14:paraId="76E2B897">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42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BF9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康养</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41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红花铺镇闲境山居乡村康养基地建设项目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E3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51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2022-2025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E6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3.12</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05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永生村</w:t>
            </w:r>
          </w:p>
        </w:tc>
      </w:tr>
      <w:tr w14:paraId="56FB2075">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8EF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3C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防灾</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89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嘉陵江凤县段防洪工程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76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04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2024-2035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0B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C4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全镇</w:t>
            </w:r>
          </w:p>
        </w:tc>
      </w:tr>
      <w:tr w14:paraId="7ABD85E2">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26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64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F6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九子沟磷灰石矿综合开发利用项目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7F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2E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2022-2025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5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1D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草凉驿村</w:t>
            </w:r>
          </w:p>
        </w:tc>
      </w:tr>
      <w:tr w14:paraId="5B5E4106">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38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AF0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AEA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凤县马蹄沟金矿床吉昌沟地段金矿普查项目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51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7A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2021-2024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23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100</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30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草凉驿村</w:t>
            </w:r>
          </w:p>
        </w:tc>
      </w:tr>
      <w:tr w14:paraId="42C39AFE">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FC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28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E7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旅游康养体验融合建设项目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8A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06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2021-2025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55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6.28</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9F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永生村</w:t>
            </w:r>
          </w:p>
        </w:tc>
      </w:tr>
      <w:tr w14:paraId="719D5DB1">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B3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841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3E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欢乐世界游乐园建设项目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3F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BA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2022-2024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B1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7.54</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EF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永生村</w:t>
            </w:r>
          </w:p>
        </w:tc>
      </w:tr>
      <w:tr w14:paraId="42F61D33">
        <w:tblPrEx>
          <w:tblCellMar>
            <w:top w:w="0" w:type="dxa"/>
            <w:left w:w="108" w:type="dxa"/>
            <w:bottom w:w="0" w:type="dxa"/>
            <w:right w:w="108" w:type="dxa"/>
          </w:tblCellMar>
        </w:tblPrEx>
        <w:trPr>
          <w:trHeight w:val="380"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CB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5D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8A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龙王沟休闲旅游度假区建设项目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BE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664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4C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6.12</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2B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草凉驿村</w:t>
            </w:r>
          </w:p>
        </w:tc>
      </w:tr>
      <w:tr w14:paraId="23FC6061">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B3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66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7E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龙王沟林麝养殖繁育产业园</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C3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88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2022-2025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7D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10.28</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20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草凉驿村</w:t>
            </w:r>
          </w:p>
        </w:tc>
      </w:tr>
      <w:tr w14:paraId="4133349D">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4F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D89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90D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草凉驿家畜综合养殖销售基地建设项目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3B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7D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2022-2025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61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4.13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E6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草凉驿村</w:t>
            </w:r>
          </w:p>
        </w:tc>
      </w:tr>
      <w:tr w14:paraId="40FE010C">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EB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46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995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红花铺现代中药材种植</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9AE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BD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2C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3.15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D4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w:t>
            </w:r>
            <w:r>
              <w:rPr>
                <w:rFonts w:hint="eastAsia" w:ascii="仿宋_GB2312" w:hAnsi="宋体" w:cs="仿宋_GB2312"/>
                <w:i w:val="0"/>
                <w:iCs w:val="0"/>
                <w:color w:val="auto"/>
                <w:kern w:val="0"/>
                <w:sz w:val="21"/>
                <w:szCs w:val="21"/>
                <w:highlight w:val="none"/>
                <w:u w:val="none"/>
                <w:lang w:val="en-US" w:eastAsia="zh-CN" w:bidi="ar"/>
              </w:rPr>
              <w:t>村</w:t>
            </w:r>
          </w:p>
        </w:tc>
      </w:tr>
      <w:tr w14:paraId="4BB31467">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20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9D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B2F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红花铺镇蜜蜂小镇项目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22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082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86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2.16</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74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永生村</w:t>
            </w:r>
          </w:p>
        </w:tc>
      </w:tr>
      <w:tr w14:paraId="7E1ABF5D">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C89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34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FCAF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企地协作现代化种植养殖</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D8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A58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4A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3.24</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C5F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永生村</w:t>
            </w:r>
          </w:p>
        </w:tc>
      </w:tr>
      <w:tr w14:paraId="3163B0F0">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F3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26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2E5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红花铺镇钾长石矿山废渣综合利用项目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19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E94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77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15.33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B3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w:t>
            </w:r>
            <w:r>
              <w:rPr>
                <w:rFonts w:hint="eastAsia" w:ascii="仿宋_GB2312" w:hAnsi="宋体" w:cs="仿宋_GB2312"/>
                <w:i w:val="0"/>
                <w:iCs w:val="0"/>
                <w:color w:val="auto"/>
                <w:kern w:val="0"/>
                <w:sz w:val="21"/>
                <w:szCs w:val="21"/>
                <w:highlight w:val="none"/>
                <w:u w:val="none"/>
                <w:lang w:val="en-US" w:eastAsia="zh-CN" w:bidi="ar"/>
              </w:rPr>
              <w:t>村</w:t>
            </w:r>
          </w:p>
        </w:tc>
      </w:tr>
      <w:tr w14:paraId="2D4F2690">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CE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11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12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红花铺镇镇村基础设施提升项目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DC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5F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9F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0B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kern w:val="0"/>
                <w:sz w:val="21"/>
                <w:szCs w:val="21"/>
                <w:highlight w:val="none"/>
                <w:u w:val="none"/>
                <w:lang w:val="en-US" w:eastAsia="zh-CN" w:bidi="ar"/>
              </w:rPr>
              <w:t>全镇</w:t>
            </w:r>
          </w:p>
        </w:tc>
      </w:tr>
      <w:tr w14:paraId="2601DE2B">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52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78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3F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凤县马蹄沟金矿床吉昌沟地段金矿普查开发项目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5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7D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2021-2023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B5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5F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草凉驿村</w:t>
            </w:r>
          </w:p>
        </w:tc>
      </w:tr>
      <w:tr w14:paraId="74086C55">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74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B6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35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红花铺锂电池生产基地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BA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5A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ACC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20.15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CF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w:t>
            </w:r>
            <w:r>
              <w:rPr>
                <w:rFonts w:hint="eastAsia" w:ascii="仿宋_GB2312" w:hAnsi="宋体" w:cs="仿宋_GB2312"/>
                <w:i w:val="0"/>
                <w:iCs w:val="0"/>
                <w:color w:val="auto"/>
                <w:kern w:val="0"/>
                <w:sz w:val="21"/>
                <w:szCs w:val="21"/>
                <w:highlight w:val="none"/>
                <w:u w:val="none"/>
                <w:lang w:val="en-US" w:eastAsia="zh-CN" w:bidi="ar"/>
              </w:rPr>
              <w:t>村</w:t>
            </w:r>
          </w:p>
        </w:tc>
      </w:tr>
      <w:tr w14:paraId="75C614A1">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EF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27</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C3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1D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红花铺镇石英石深加工项目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1D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11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2023-2025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E0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30.24</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99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w:t>
            </w:r>
            <w:r>
              <w:rPr>
                <w:rFonts w:hint="eastAsia" w:ascii="仿宋_GB2312" w:hAnsi="宋体" w:cs="仿宋_GB2312"/>
                <w:i w:val="0"/>
                <w:iCs w:val="0"/>
                <w:color w:val="auto"/>
                <w:kern w:val="0"/>
                <w:sz w:val="21"/>
                <w:szCs w:val="21"/>
                <w:highlight w:val="none"/>
                <w:u w:val="none"/>
                <w:lang w:val="en-US" w:eastAsia="zh-CN" w:bidi="ar"/>
              </w:rPr>
              <w:t>村</w:t>
            </w:r>
          </w:p>
        </w:tc>
      </w:tr>
      <w:tr w14:paraId="6C9183A0">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7B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28</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44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00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凤县非金属矿普查及废渣综合利用项目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70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扩建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38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2020-2023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83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10.25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5C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w:t>
            </w:r>
            <w:r>
              <w:rPr>
                <w:rFonts w:hint="eastAsia" w:ascii="仿宋_GB2312" w:hAnsi="宋体" w:cs="仿宋_GB2312"/>
                <w:i w:val="0"/>
                <w:iCs w:val="0"/>
                <w:color w:val="auto"/>
                <w:kern w:val="0"/>
                <w:sz w:val="21"/>
                <w:szCs w:val="21"/>
                <w:highlight w:val="none"/>
                <w:u w:val="none"/>
                <w:lang w:val="en-US" w:eastAsia="zh-CN" w:bidi="ar"/>
              </w:rPr>
              <w:t>村</w:t>
            </w:r>
          </w:p>
        </w:tc>
      </w:tr>
      <w:tr w14:paraId="5195A06B">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FA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29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3C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49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红花铺镇食用玫瑰种植及玫瑰精油加工项目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0D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A7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2021-2024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2F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3.15</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B0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w:t>
            </w:r>
            <w:r>
              <w:rPr>
                <w:rFonts w:hint="eastAsia" w:ascii="仿宋_GB2312" w:hAnsi="宋体" w:cs="仿宋_GB2312"/>
                <w:i w:val="0"/>
                <w:iCs w:val="0"/>
                <w:color w:val="auto"/>
                <w:kern w:val="0"/>
                <w:sz w:val="21"/>
                <w:szCs w:val="21"/>
                <w:highlight w:val="none"/>
                <w:u w:val="none"/>
                <w:lang w:val="en-US" w:eastAsia="zh-CN" w:bidi="ar"/>
              </w:rPr>
              <w:t>村</w:t>
            </w:r>
          </w:p>
        </w:tc>
      </w:tr>
      <w:tr w14:paraId="4C825F39">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83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AF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F6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红花铺村食用菌研发中心及物流中心建设项目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F1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FD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2021-2025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9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i w:val="0"/>
                <w:iCs w:val="0"/>
                <w:color w:val="auto"/>
                <w:kern w:val="0"/>
                <w:sz w:val="21"/>
                <w:szCs w:val="21"/>
                <w:highlight w:val="none"/>
                <w:u w:val="none"/>
                <w:lang w:val="en-US" w:eastAsia="zh-CN" w:bidi="ar"/>
              </w:rPr>
              <w:t>6.23</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9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eastAsia="仿宋_GB2312" w:cs="仿宋_GB2312"/>
                <w:i w:val="0"/>
                <w:iCs w:val="0"/>
                <w:color w:val="auto"/>
                <w:kern w:val="0"/>
                <w:sz w:val="21"/>
                <w:szCs w:val="21"/>
                <w:highlight w:val="none"/>
                <w:u w:val="none"/>
                <w:lang w:val="en-US" w:eastAsia="zh-CN" w:bidi="ar"/>
              </w:rPr>
              <w:t>红花铺</w:t>
            </w:r>
            <w:r>
              <w:rPr>
                <w:rFonts w:hint="eastAsia" w:ascii="仿宋_GB2312" w:hAnsi="宋体" w:cs="仿宋_GB2312"/>
                <w:i w:val="0"/>
                <w:iCs w:val="0"/>
                <w:color w:val="auto"/>
                <w:kern w:val="0"/>
                <w:sz w:val="21"/>
                <w:szCs w:val="21"/>
                <w:highlight w:val="none"/>
                <w:u w:val="none"/>
                <w:lang w:val="en-US" w:eastAsia="zh-CN" w:bidi="ar"/>
              </w:rPr>
              <w:t>村</w:t>
            </w:r>
          </w:p>
        </w:tc>
      </w:tr>
      <w:tr w14:paraId="332C0E91">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9D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31</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DF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56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草凉驿选矿厂及尾矿库项目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C3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55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2021-2035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DE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79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cs="仿宋_GB2312"/>
                <w:color w:val="auto"/>
                <w:sz w:val="21"/>
                <w:szCs w:val="21"/>
                <w:highlight w:val="none"/>
              </w:rPr>
            </w:pPr>
            <w:r>
              <w:rPr>
                <w:rFonts w:hint="eastAsia" w:ascii="仿宋_GB2312" w:hAnsi="宋体" w:cs="仿宋_GB2312"/>
                <w:i w:val="0"/>
                <w:iCs w:val="0"/>
                <w:color w:val="auto"/>
                <w:sz w:val="21"/>
                <w:szCs w:val="21"/>
                <w:highlight w:val="none"/>
                <w:u w:val="none"/>
                <w:lang w:val="en-US" w:eastAsia="zh-CN"/>
              </w:rPr>
              <w:t>草凉驿村</w:t>
            </w:r>
          </w:p>
        </w:tc>
      </w:tr>
      <w:tr w14:paraId="1A28FD81">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D3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6D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B5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凤县红花铺龙王沟磷矿普查项目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91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color w:val="auto"/>
                <w:kern w:val="2"/>
                <w:sz w:val="21"/>
                <w:szCs w:val="21"/>
                <w:highlight w:val="none"/>
                <w:lang w:val="en-US" w:eastAsia="zh-CN" w:bidi="ar-SA"/>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83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2021-2035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AD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3.44</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E38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全镇</w:t>
            </w:r>
          </w:p>
        </w:tc>
      </w:tr>
      <w:tr w14:paraId="748B0425">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04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33</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BD2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8B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凤县坡罗寨多金属矿项目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BD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color w:val="auto"/>
                <w:kern w:val="2"/>
                <w:sz w:val="21"/>
                <w:szCs w:val="21"/>
                <w:highlight w:val="none"/>
                <w:lang w:val="en-US" w:eastAsia="zh-CN" w:bidi="ar-SA"/>
              </w:rPr>
            </w:pPr>
            <w:r>
              <w:rPr>
                <w:rFonts w:hint="eastAsia" w:ascii="仿宋_GB2312" w:hAnsi="宋体" w:cs="仿宋_GB2312"/>
                <w:i w:val="0"/>
                <w:iCs w:val="0"/>
                <w:color w:val="auto"/>
                <w:sz w:val="21"/>
                <w:szCs w:val="21"/>
                <w:highlight w:val="none"/>
                <w:u w:val="none"/>
                <w:lang w:val="en-US" w:eastAsia="zh-CN"/>
              </w:rPr>
              <w:t>新建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C9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2021-2035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CE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603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全镇</w:t>
            </w:r>
          </w:p>
        </w:tc>
      </w:tr>
      <w:tr w14:paraId="69322A56">
        <w:tblPrEx>
          <w:tblCellMar>
            <w:top w:w="0" w:type="dxa"/>
            <w:left w:w="108" w:type="dxa"/>
            <w:bottom w:w="0" w:type="dxa"/>
            <w:right w:w="108" w:type="dxa"/>
          </w:tblCellMar>
        </w:tblPrEx>
        <w:trPr>
          <w:trHeight w:val="285" w:hRule="atLeast"/>
          <w:jc w:val="center"/>
        </w:trPr>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34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34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5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其他</w:t>
            </w:r>
          </w:p>
        </w:tc>
        <w:tc>
          <w:tcPr>
            <w:tcW w:w="2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2C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凤县安王山—龙王沟地区金铅锌多金属矿普查项目</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23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扩建</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C4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2021-2025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19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eastAsia" w:ascii="Times New Roman" w:hAnsi="Times New Roman" w:eastAsia="宋体" w:cs="Times New Roman"/>
                <w:i w:val="0"/>
                <w:iCs w:val="0"/>
                <w:color w:val="auto"/>
                <w:kern w:val="0"/>
                <w:sz w:val="21"/>
                <w:szCs w:val="21"/>
                <w:highlight w:val="none"/>
                <w:u w:val="none"/>
                <w:lang w:val="en-US" w:eastAsia="zh-CN" w:bidi="ar"/>
              </w:rPr>
              <w:t>2682</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4D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cs="仿宋_GB2312"/>
                <w:i w:val="0"/>
                <w:iCs w:val="0"/>
                <w:color w:val="auto"/>
                <w:sz w:val="21"/>
                <w:szCs w:val="21"/>
                <w:highlight w:val="none"/>
                <w:u w:val="none"/>
                <w:lang w:val="en-US" w:eastAsia="zh-CN"/>
              </w:rPr>
            </w:pPr>
            <w:r>
              <w:rPr>
                <w:rFonts w:hint="eastAsia" w:ascii="仿宋_GB2312" w:hAnsi="宋体" w:cs="仿宋_GB2312"/>
                <w:i w:val="0"/>
                <w:iCs w:val="0"/>
                <w:color w:val="auto"/>
                <w:sz w:val="21"/>
                <w:szCs w:val="21"/>
                <w:highlight w:val="none"/>
                <w:u w:val="none"/>
                <w:lang w:val="en-US" w:eastAsia="zh-CN"/>
              </w:rPr>
              <w:t>全镇</w:t>
            </w:r>
          </w:p>
        </w:tc>
      </w:tr>
    </w:tbl>
    <w:p w14:paraId="48B9B7EE">
      <w:pPr>
        <w:pStyle w:val="24"/>
        <w:spacing w:beforeAutospacing="0" w:afterAutospacing="0" w:line="240" w:lineRule="atLeast"/>
        <w:ind w:firstLine="0" w:firstLineChars="0"/>
        <w:rPr>
          <w:rFonts w:ascii="仿宋" w:hAnsi="仿宋" w:eastAsia="仿宋" w:cs="仿宋"/>
          <w:color w:val="000000"/>
          <w:szCs w:val="24"/>
        </w:rPr>
      </w:pPr>
    </w:p>
    <w:p w14:paraId="0902795C">
      <w:pPr>
        <w:ind w:firstLine="600"/>
      </w:pPr>
      <w:r>
        <w:br w:type="page"/>
      </w:r>
    </w:p>
    <w:p w14:paraId="2ED46FF7">
      <w:pPr>
        <w:spacing w:line="240" w:lineRule="atLeast"/>
        <w:ind w:firstLine="120"/>
        <w:rPr>
          <w:sz w:val="6"/>
          <w:szCs w:val="6"/>
        </w:rPr>
      </w:pPr>
    </w:p>
    <w:p w14:paraId="28FCFC86">
      <w:pPr>
        <w:pStyle w:val="10"/>
        <w:tabs>
          <w:tab w:val="left" w:pos="420"/>
        </w:tabs>
        <w:spacing w:line="240" w:lineRule="auto"/>
        <w:outlineLvl w:val="0"/>
        <w:rPr>
          <w:rFonts w:cs="黑体"/>
          <w:b/>
          <w:bCs/>
          <w:sz w:val="30"/>
          <w:szCs w:val="30"/>
        </w:rPr>
      </w:pPr>
      <w:bookmarkStart w:id="142" w:name="_Toc22698"/>
      <w:bookmarkStart w:id="143" w:name="_Toc14492"/>
      <w:r>
        <w:rPr>
          <w:rFonts w:hint="eastAsia" w:cs="黑体"/>
          <w:b/>
          <w:bCs/>
          <w:sz w:val="30"/>
          <w:szCs w:val="30"/>
        </w:rPr>
        <w:t>表6  镇区（集中建设区）建设用地结构规划表</w:t>
      </w:r>
      <w:bookmarkEnd w:id="142"/>
      <w:bookmarkEnd w:id="143"/>
    </w:p>
    <w:p w14:paraId="7035C62C">
      <w:pPr>
        <w:pStyle w:val="24"/>
        <w:spacing w:beforeAutospacing="0" w:afterAutospacing="0" w:line="240" w:lineRule="atLeast"/>
        <w:ind w:firstLine="0" w:firstLineChars="0"/>
        <w:jc w:val="right"/>
        <w:rPr>
          <w:rFonts w:ascii="仿宋" w:hAnsi="仿宋" w:eastAsia="仿宋" w:cs="仿宋"/>
          <w:color w:val="000000"/>
          <w:szCs w:val="24"/>
        </w:rPr>
      </w:pPr>
      <w:r>
        <w:rPr>
          <w:rFonts w:hint="eastAsia" w:ascii="仿宋" w:hAnsi="仿宋" w:eastAsia="仿宋" w:cs="仿宋"/>
          <w:color w:val="000000"/>
          <w:szCs w:val="24"/>
        </w:rPr>
        <w:t>单位：公顷，%</w:t>
      </w:r>
    </w:p>
    <w:tbl>
      <w:tblPr>
        <w:tblStyle w:val="27"/>
        <w:tblW w:w="5000" w:type="pct"/>
        <w:tblInd w:w="0" w:type="dxa"/>
        <w:tblLayout w:type="fixed"/>
        <w:tblCellMar>
          <w:top w:w="0" w:type="dxa"/>
          <w:left w:w="108" w:type="dxa"/>
          <w:bottom w:w="0" w:type="dxa"/>
          <w:right w:w="108" w:type="dxa"/>
        </w:tblCellMar>
      </w:tblPr>
      <w:tblGrid>
        <w:gridCol w:w="1499"/>
        <w:gridCol w:w="1674"/>
        <w:gridCol w:w="1533"/>
        <w:gridCol w:w="1119"/>
        <w:gridCol w:w="976"/>
        <w:gridCol w:w="976"/>
        <w:gridCol w:w="1113"/>
      </w:tblGrid>
      <w:tr w14:paraId="34954E99">
        <w:tblPrEx>
          <w:tblCellMar>
            <w:top w:w="0" w:type="dxa"/>
            <w:left w:w="108" w:type="dxa"/>
            <w:bottom w:w="0" w:type="dxa"/>
            <w:right w:w="108" w:type="dxa"/>
          </w:tblCellMar>
        </w:tblPrEx>
        <w:trPr>
          <w:trHeight w:val="285" w:hRule="atLeast"/>
          <w:tblHeader/>
        </w:trPr>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86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一级地类</w:t>
            </w:r>
          </w:p>
        </w:tc>
        <w:tc>
          <w:tcPr>
            <w:tcW w:w="9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30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二级地类</w:t>
            </w:r>
          </w:p>
        </w:tc>
        <w:tc>
          <w:tcPr>
            <w:tcW w:w="8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3D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三级地类</w:t>
            </w:r>
          </w:p>
        </w:tc>
        <w:tc>
          <w:tcPr>
            <w:tcW w:w="11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C1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2020年</w:t>
            </w:r>
          </w:p>
        </w:tc>
        <w:tc>
          <w:tcPr>
            <w:tcW w:w="11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17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2035年</w:t>
            </w:r>
          </w:p>
        </w:tc>
      </w:tr>
      <w:tr w14:paraId="1A4897A7">
        <w:tblPrEx>
          <w:tblCellMar>
            <w:top w:w="0" w:type="dxa"/>
            <w:left w:w="108" w:type="dxa"/>
            <w:bottom w:w="0" w:type="dxa"/>
            <w:right w:w="108" w:type="dxa"/>
          </w:tblCellMar>
        </w:tblPrEx>
        <w:trPr>
          <w:trHeight w:val="285" w:hRule="atLeast"/>
          <w:tblHeader/>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25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p>
        </w:tc>
        <w:tc>
          <w:tcPr>
            <w:tcW w:w="9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3B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p>
        </w:tc>
        <w:tc>
          <w:tcPr>
            <w:tcW w:w="8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8A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E5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面积</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8F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比重</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B7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面积</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49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b/>
                <w:bCs/>
                <w:color w:val="000000"/>
                <w:kern w:val="0"/>
                <w:sz w:val="21"/>
                <w:szCs w:val="21"/>
                <w:lang w:bidi="ar"/>
              </w:rPr>
            </w:pPr>
            <w:r>
              <w:rPr>
                <w:rFonts w:hint="default" w:ascii="Times New Roman" w:hAnsi="Times New Roman" w:eastAsia="仿宋_GB2312" w:cs="Times New Roman"/>
                <w:b/>
                <w:bCs/>
                <w:color w:val="000000"/>
                <w:kern w:val="0"/>
                <w:sz w:val="21"/>
                <w:szCs w:val="21"/>
                <w:lang w:bidi="ar"/>
              </w:rPr>
              <w:t>比重</w:t>
            </w:r>
          </w:p>
        </w:tc>
      </w:tr>
      <w:tr w14:paraId="608DFD1E">
        <w:tblPrEx>
          <w:tblCellMar>
            <w:top w:w="0" w:type="dxa"/>
            <w:left w:w="108" w:type="dxa"/>
            <w:bottom w:w="0" w:type="dxa"/>
            <w:right w:w="108" w:type="dxa"/>
          </w:tblCellMar>
        </w:tblPrEx>
        <w:trPr>
          <w:trHeight w:val="285" w:hRule="atLeast"/>
        </w:trPr>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9D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居住用地</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4F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城镇住宅用地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B5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54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2.51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4F6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21.21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56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3.98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EB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30.05</w:t>
            </w:r>
          </w:p>
        </w:tc>
      </w:tr>
      <w:tr w14:paraId="2D0AC5E2">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C30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5F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农村宅基地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11E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5BC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2.41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B6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21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47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r>
      <w:tr w14:paraId="72ED3F3F">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3D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EB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农村社区服务设施用地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6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0.34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70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9E6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2C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r>
      <w:tr w14:paraId="33FFF804">
        <w:tblPrEx>
          <w:tblCellMar>
            <w:top w:w="0" w:type="dxa"/>
            <w:left w:w="108" w:type="dxa"/>
            <w:bottom w:w="0" w:type="dxa"/>
            <w:right w:w="108" w:type="dxa"/>
          </w:tblCellMar>
        </w:tblPrEx>
        <w:trPr>
          <w:trHeight w:val="285" w:hRule="atLeast"/>
        </w:trPr>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38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公共管理与公共服务用地</w:t>
            </w: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78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机关团体用地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8E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0.23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B6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1.91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91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0.48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50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3.62</w:t>
            </w:r>
          </w:p>
        </w:tc>
      </w:tr>
      <w:tr w14:paraId="1B2ED721">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98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19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文化用地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A8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F5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0.15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6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1B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0.04</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00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0.38</w:t>
            </w:r>
          </w:p>
        </w:tc>
      </w:tr>
      <w:tr w14:paraId="587ACEB3">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C6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9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6F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教育用地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A7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中小学用地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EF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0.96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A26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8.13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EED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0.65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6D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4.91</w:t>
            </w:r>
          </w:p>
        </w:tc>
      </w:tr>
      <w:tr w14:paraId="56E7354C">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92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9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D5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7A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幼儿园用地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34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0.26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64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2.17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99F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0.2</w:t>
            </w:r>
            <w:r>
              <w:rPr>
                <w:rFonts w:hint="default" w:ascii="Times New Roman" w:hAnsi="Times New Roman" w:eastAsia="仿宋_GB2312" w:cs="Times New Roman"/>
                <w:color w:val="000000"/>
                <w:sz w:val="21"/>
                <w:szCs w:val="21"/>
                <w:lang w:val="en-US" w:eastAsia="zh-CN"/>
              </w:rPr>
              <w:t>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67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1.51</w:t>
            </w:r>
          </w:p>
        </w:tc>
      </w:tr>
      <w:tr w14:paraId="51608859">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89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40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体育用地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F4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A99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0.05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25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0.44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C8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097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r>
      <w:tr w14:paraId="5150B1E6">
        <w:tblPrEx>
          <w:tblCellMar>
            <w:top w:w="0" w:type="dxa"/>
            <w:left w:w="108" w:type="dxa"/>
            <w:bottom w:w="0" w:type="dxa"/>
            <w:right w:w="108" w:type="dxa"/>
          </w:tblCellMar>
        </w:tblPrEx>
        <w:trPr>
          <w:trHeight w:val="382"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8D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54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医疗卫生用地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E1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C6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0.02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2E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EE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0.22</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F5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1.66</w:t>
            </w:r>
          </w:p>
        </w:tc>
      </w:tr>
      <w:tr w14:paraId="07117B44">
        <w:tblPrEx>
          <w:tblCellMar>
            <w:top w:w="0" w:type="dxa"/>
            <w:left w:w="108" w:type="dxa"/>
            <w:bottom w:w="0" w:type="dxa"/>
            <w:right w:w="108" w:type="dxa"/>
          </w:tblCellMar>
        </w:tblPrEx>
        <w:trPr>
          <w:trHeight w:val="285" w:hRule="atLeast"/>
        </w:trPr>
        <w:tc>
          <w:tcPr>
            <w:tcW w:w="843" w:type="pct"/>
            <w:vMerge w:val="restart"/>
            <w:tcBorders>
              <w:top w:val="single" w:color="000000" w:sz="4" w:space="0"/>
              <w:left w:val="single" w:color="000000" w:sz="4" w:space="0"/>
              <w:right w:val="single" w:color="000000" w:sz="4" w:space="0"/>
            </w:tcBorders>
            <w:shd w:val="clear" w:color="auto" w:fill="auto"/>
            <w:noWrap/>
            <w:vAlign w:val="center"/>
          </w:tcPr>
          <w:p w14:paraId="23368C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商业服务业用地</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D2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零售商业用地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E9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16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51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8F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0.16</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10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1.20</w:t>
            </w:r>
          </w:p>
        </w:tc>
      </w:tr>
      <w:tr w14:paraId="475196EA">
        <w:tblPrEx>
          <w:tblCellMar>
            <w:top w:w="0" w:type="dxa"/>
            <w:left w:w="108" w:type="dxa"/>
            <w:bottom w:w="0" w:type="dxa"/>
            <w:right w:w="108" w:type="dxa"/>
          </w:tblCellMar>
        </w:tblPrEx>
        <w:trPr>
          <w:trHeight w:val="285" w:hRule="atLeast"/>
        </w:trPr>
        <w:tc>
          <w:tcPr>
            <w:tcW w:w="843" w:type="pct"/>
            <w:vMerge w:val="continue"/>
            <w:tcBorders>
              <w:left w:val="single" w:color="000000" w:sz="4" w:space="0"/>
              <w:right w:val="single" w:color="000000" w:sz="4" w:space="0"/>
            </w:tcBorders>
            <w:shd w:val="clear" w:color="auto" w:fill="auto"/>
            <w:noWrap/>
            <w:vAlign w:val="center"/>
          </w:tcPr>
          <w:p w14:paraId="3164EC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5F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公用设施营业网点用地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8C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DF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0.26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D1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8B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0.41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00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3.12</w:t>
            </w:r>
          </w:p>
        </w:tc>
      </w:tr>
      <w:tr w14:paraId="51A3721E">
        <w:tblPrEx>
          <w:tblCellMar>
            <w:top w:w="0" w:type="dxa"/>
            <w:left w:w="108" w:type="dxa"/>
            <w:bottom w:w="0" w:type="dxa"/>
            <w:right w:w="108" w:type="dxa"/>
          </w:tblCellMar>
        </w:tblPrEx>
        <w:trPr>
          <w:trHeight w:val="285" w:hRule="atLeast"/>
        </w:trPr>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C5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工矿用地</w:t>
            </w: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B8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工业用地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06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一类工业用地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B0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0.25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D12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2E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A9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r>
      <w:tr w14:paraId="339B814F">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D48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DF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采矿用地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04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1.69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F1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13.63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B87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FA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r>
      <w:tr w14:paraId="4221D43D">
        <w:tblPrEx>
          <w:tblCellMar>
            <w:top w:w="0" w:type="dxa"/>
            <w:left w:w="108" w:type="dxa"/>
            <w:bottom w:w="0" w:type="dxa"/>
            <w:right w:w="108" w:type="dxa"/>
          </w:tblCellMar>
        </w:tblPrEx>
        <w:trPr>
          <w:trHeight w:val="313" w:hRule="atLeast"/>
        </w:trPr>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65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交通运输</w:t>
            </w:r>
          </w:p>
          <w:p w14:paraId="17527A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用地</w:t>
            </w:r>
          </w:p>
        </w:tc>
        <w:tc>
          <w:tcPr>
            <w:tcW w:w="1803" w:type="pct"/>
            <w:gridSpan w:val="2"/>
            <w:tcBorders>
              <w:top w:val="single" w:color="000000" w:sz="4" w:space="0"/>
              <w:left w:val="single" w:color="000000" w:sz="4" w:space="0"/>
              <w:right w:val="single" w:color="000000" w:sz="4" w:space="0"/>
            </w:tcBorders>
            <w:shd w:val="clear" w:color="auto" w:fill="auto"/>
            <w:noWrap/>
            <w:vAlign w:val="center"/>
          </w:tcPr>
          <w:p w14:paraId="5225FC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公路用地</w:t>
            </w:r>
          </w:p>
        </w:tc>
        <w:tc>
          <w:tcPr>
            <w:tcW w:w="629" w:type="pct"/>
            <w:tcBorders>
              <w:top w:val="single" w:color="000000" w:sz="4" w:space="0"/>
              <w:left w:val="single" w:color="000000" w:sz="4" w:space="0"/>
              <w:right w:val="single" w:color="000000" w:sz="4" w:space="0"/>
            </w:tcBorders>
            <w:shd w:val="clear" w:color="auto" w:fill="auto"/>
            <w:noWrap/>
            <w:vAlign w:val="center"/>
          </w:tcPr>
          <w:p w14:paraId="165EE50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0.84</w:t>
            </w:r>
          </w:p>
        </w:tc>
        <w:tc>
          <w:tcPr>
            <w:tcW w:w="548" w:type="pct"/>
            <w:tcBorders>
              <w:top w:val="single" w:color="000000" w:sz="4" w:space="0"/>
              <w:left w:val="single" w:color="000000" w:sz="4" w:space="0"/>
              <w:right w:val="single" w:color="000000" w:sz="4" w:space="0"/>
            </w:tcBorders>
            <w:shd w:val="clear" w:color="auto" w:fill="auto"/>
            <w:noWrap/>
            <w:vAlign w:val="center"/>
          </w:tcPr>
          <w:p w14:paraId="518571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6.77</w:t>
            </w:r>
          </w:p>
        </w:tc>
        <w:tc>
          <w:tcPr>
            <w:tcW w:w="548" w:type="pct"/>
            <w:tcBorders>
              <w:top w:val="single" w:color="000000" w:sz="4" w:space="0"/>
              <w:left w:val="single" w:color="000000" w:sz="4" w:space="0"/>
              <w:right w:val="single" w:color="000000" w:sz="4" w:space="0"/>
            </w:tcBorders>
            <w:shd w:val="clear" w:color="auto" w:fill="auto"/>
            <w:noWrap/>
            <w:vAlign w:val="center"/>
          </w:tcPr>
          <w:p w14:paraId="075E00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625" w:type="pct"/>
            <w:tcBorders>
              <w:top w:val="single" w:color="000000" w:sz="4" w:space="0"/>
              <w:left w:val="single" w:color="000000" w:sz="4" w:space="0"/>
              <w:right w:val="single" w:color="000000" w:sz="4" w:space="0"/>
            </w:tcBorders>
            <w:shd w:val="clear" w:color="auto" w:fill="auto"/>
            <w:noWrap/>
            <w:vAlign w:val="center"/>
          </w:tcPr>
          <w:p w14:paraId="3C52736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r>
      <w:tr w14:paraId="131408F8">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13C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FC4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城镇村道路用地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F5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1.28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86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10.29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03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2.00</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99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15.13</w:t>
            </w:r>
          </w:p>
        </w:tc>
      </w:tr>
      <w:tr w14:paraId="2DA83398">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F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9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D2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交通场站用地</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A6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对外交通场站用地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49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06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4E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0.99</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75F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7.45</w:t>
            </w:r>
          </w:p>
        </w:tc>
      </w:tr>
      <w:tr w14:paraId="752B662A">
        <w:tblPrEx>
          <w:tblCellMar>
            <w:top w:w="0" w:type="dxa"/>
            <w:left w:w="108" w:type="dxa"/>
            <w:bottom w:w="0" w:type="dxa"/>
            <w:right w:w="108" w:type="dxa"/>
          </w:tblCellMar>
        </w:tblPrEx>
        <w:trPr>
          <w:trHeight w:val="341" w:hRule="atLeast"/>
        </w:trPr>
        <w:tc>
          <w:tcPr>
            <w:tcW w:w="843" w:type="pct"/>
            <w:vMerge w:val="restart"/>
            <w:tcBorders>
              <w:top w:val="single" w:color="000000" w:sz="4" w:space="0"/>
              <w:left w:val="single" w:color="000000" w:sz="4" w:space="0"/>
              <w:right w:val="single" w:color="000000" w:sz="4" w:space="0"/>
            </w:tcBorders>
            <w:shd w:val="clear" w:color="auto" w:fill="auto"/>
            <w:noWrap/>
            <w:vAlign w:val="center"/>
          </w:tcPr>
          <w:p w14:paraId="22E948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公用设施</w:t>
            </w:r>
          </w:p>
          <w:p w14:paraId="0A10BC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用地</w:t>
            </w:r>
          </w:p>
        </w:tc>
        <w:tc>
          <w:tcPr>
            <w:tcW w:w="1803" w:type="pct"/>
            <w:gridSpan w:val="2"/>
            <w:tcBorders>
              <w:top w:val="single" w:color="000000" w:sz="4" w:space="0"/>
              <w:left w:val="single" w:color="000000" w:sz="4" w:space="0"/>
              <w:right w:val="single" w:color="000000" w:sz="4" w:space="0"/>
            </w:tcBorders>
            <w:shd w:val="clear" w:color="auto" w:fill="auto"/>
            <w:noWrap/>
            <w:vAlign w:val="center"/>
          </w:tcPr>
          <w:p w14:paraId="3F1E6E0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排水用地</w:t>
            </w:r>
          </w:p>
        </w:tc>
        <w:tc>
          <w:tcPr>
            <w:tcW w:w="629" w:type="pct"/>
            <w:tcBorders>
              <w:top w:val="single" w:color="000000" w:sz="4" w:space="0"/>
              <w:left w:val="single" w:color="000000" w:sz="4" w:space="0"/>
              <w:right w:val="single" w:color="000000" w:sz="4" w:space="0"/>
            </w:tcBorders>
            <w:shd w:val="clear" w:color="auto" w:fill="auto"/>
            <w:noWrap/>
            <w:vAlign w:val="center"/>
          </w:tcPr>
          <w:p w14:paraId="0D6FBF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right w:val="single" w:color="000000" w:sz="4" w:space="0"/>
            </w:tcBorders>
            <w:shd w:val="clear" w:color="auto" w:fill="auto"/>
            <w:noWrap/>
            <w:vAlign w:val="center"/>
          </w:tcPr>
          <w:p w14:paraId="13083F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right w:val="single" w:color="000000" w:sz="4" w:space="0"/>
            </w:tcBorders>
            <w:shd w:val="clear" w:color="auto" w:fill="auto"/>
            <w:noWrap/>
            <w:vAlign w:val="center"/>
          </w:tcPr>
          <w:p w14:paraId="3E7C08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0.18</w:t>
            </w:r>
          </w:p>
        </w:tc>
        <w:tc>
          <w:tcPr>
            <w:tcW w:w="625" w:type="pct"/>
            <w:tcBorders>
              <w:top w:val="single" w:color="000000" w:sz="4" w:space="0"/>
              <w:left w:val="single" w:color="000000" w:sz="4" w:space="0"/>
              <w:right w:val="single" w:color="000000" w:sz="4" w:space="0"/>
            </w:tcBorders>
            <w:shd w:val="clear" w:color="auto" w:fill="auto"/>
            <w:noWrap/>
            <w:vAlign w:val="center"/>
          </w:tcPr>
          <w:p w14:paraId="37593A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1.39</w:t>
            </w:r>
          </w:p>
        </w:tc>
      </w:tr>
      <w:tr w14:paraId="54D3252F">
        <w:tblPrEx>
          <w:tblCellMar>
            <w:top w:w="0" w:type="dxa"/>
            <w:left w:w="108" w:type="dxa"/>
            <w:bottom w:w="0" w:type="dxa"/>
            <w:right w:w="108" w:type="dxa"/>
          </w:tblCellMar>
        </w:tblPrEx>
        <w:trPr>
          <w:trHeight w:val="285" w:hRule="atLeast"/>
        </w:trPr>
        <w:tc>
          <w:tcPr>
            <w:tcW w:w="843" w:type="pct"/>
            <w:vMerge w:val="continue"/>
            <w:tcBorders>
              <w:left w:val="single" w:color="000000" w:sz="4" w:space="0"/>
              <w:right w:val="single" w:color="000000" w:sz="4" w:space="0"/>
            </w:tcBorders>
            <w:shd w:val="clear" w:color="auto" w:fill="auto"/>
            <w:noWrap/>
            <w:vAlign w:val="center"/>
          </w:tcPr>
          <w:p w14:paraId="43BBB7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78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环卫用地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FC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FB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56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0.01</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B5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0.08</w:t>
            </w:r>
          </w:p>
        </w:tc>
      </w:tr>
      <w:tr w14:paraId="2689EAEE">
        <w:tblPrEx>
          <w:tblCellMar>
            <w:top w:w="0" w:type="dxa"/>
            <w:left w:w="108" w:type="dxa"/>
            <w:bottom w:w="0" w:type="dxa"/>
            <w:right w:w="108" w:type="dxa"/>
          </w:tblCellMar>
        </w:tblPrEx>
        <w:trPr>
          <w:trHeight w:val="285" w:hRule="atLeast"/>
        </w:trPr>
        <w:tc>
          <w:tcPr>
            <w:tcW w:w="843" w:type="pct"/>
            <w:vMerge w:val="continue"/>
            <w:tcBorders>
              <w:left w:val="single" w:color="000000" w:sz="4" w:space="0"/>
              <w:bottom w:val="single" w:color="000000" w:sz="4" w:space="0"/>
              <w:right w:val="single" w:color="000000" w:sz="4" w:space="0"/>
            </w:tcBorders>
            <w:shd w:val="clear" w:color="auto" w:fill="auto"/>
            <w:noWrap/>
            <w:vAlign w:val="center"/>
          </w:tcPr>
          <w:p w14:paraId="79AF5F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D7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广播电视设施用地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59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09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7E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0.05</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D2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lang w:val="en-US" w:eastAsia="zh-CN"/>
              </w:rPr>
            </w:pPr>
            <w:r>
              <w:rPr>
                <w:rFonts w:hint="default" w:ascii="Times New Roman" w:hAnsi="Times New Roman" w:eastAsia="仿宋_GB2312" w:cs="Times New Roman"/>
                <w:color w:val="000000"/>
                <w:sz w:val="21"/>
                <w:szCs w:val="21"/>
                <w:lang w:val="en-US" w:eastAsia="zh-CN"/>
              </w:rPr>
              <w:t>0.40</w:t>
            </w:r>
          </w:p>
        </w:tc>
      </w:tr>
      <w:tr w14:paraId="6AE83F3E">
        <w:tblPrEx>
          <w:tblCellMar>
            <w:top w:w="0" w:type="dxa"/>
            <w:left w:w="108" w:type="dxa"/>
            <w:bottom w:w="0" w:type="dxa"/>
            <w:right w:w="108" w:type="dxa"/>
          </w:tblCellMar>
        </w:tblPrEx>
        <w:trPr>
          <w:trHeight w:val="285" w:hRule="atLeast"/>
        </w:trPr>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0F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绿地与开敞空间用地</w:t>
            </w: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5F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公园绿地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EC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194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FF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0.57</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21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4.29</w:t>
            </w:r>
          </w:p>
        </w:tc>
      </w:tr>
      <w:tr w14:paraId="544F1099">
        <w:tblPrEx>
          <w:tblCellMar>
            <w:top w:w="0" w:type="dxa"/>
            <w:left w:w="108" w:type="dxa"/>
            <w:bottom w:w="0" w:type="dxa"/>
            <w:right w:w="108" w:type="dxa"/>
          </w:tblCellMar>
        </w:tblPrEx>
        <w:trPr>
          <w:trHeight w:val="285" w:hRule="atLeast"/>
        </w:trPr>
        <w:tc>
          <w:tcPr>
            <w:tcW w:w="843" w:type="pct"/>
            <w:vMerge w:val="continue"/>
            <w:tcBorders>
              <w:left w:val="single" w:color="000000" w:sz="4" w:space="0"/>
              <w:right w:val="single" w:color="000000" w:sz="4" w:space="0"/>
            </w:tcBorders>
            <w:shd w:val="clear" w:color="auto" w:fill="auto"/>
            <w:noWrap/>
            <w:vAlign w:val="center"/>
          </w:tcPr>
          <w:p w14:paraId="6ACF19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6C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防护绿地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9E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64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6B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0.38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84A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2.84</w:t>
            </w:r>
          </w:p>
        </w:tc>
      </w:tr>
      <w:tr w14:paraId="31FB616A">
        <w:tblPrEx>
          <w:tblCellMar>
            <w:top w:w="0" w:type="dxa"/>
            <w:left w:w="108" w:type="dxa"/>
            <w:bottom w:w="0" w:type="dxa"/>
            <w:right w:w="108" w:type="dxa"/>
          </w:tblCellMar>
        </w:tblPrEx>
        <w:trPr>
          <w:trHeight w:val="285" w:hRule="atLeast"/>
        </w:trPr>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A9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34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广场用地</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AD3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8C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0.88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C6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0.23</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4B8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1.75</w:t>
            </w:r>
          </w:p>
        </w:tc>
      </w:tr>
      <w:tr w14:paraId="2900B31C">
        <w:tblPrEx>
          <w:tblCellMar>
            <w:top w:w="0" w:type="dxa"/>
            <w:left w:w="108" w:type="dxa"/>
            <w:bottom w:w="0" w:type="dxa"/>
            <w:right w:w="108" w:type="dxa"/>
          </w:tblCellMar>
        </w:tblPrEx>
        <w:trPr>
          <w:trHeight w:val="285" w:hRule="atLeast"/>
        </w:trPr>
        <w:tc>
          <w:tcPr>
            <w:tcW w:w="8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E26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留白用地</w:t>
            </w:r>
          </w:p>
        </w:tc>
        <w:tc>
          <w:tcPr>
            <w:tcW w:w="18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7C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C0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AC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E1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2.68</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9D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20.21</w:t>
            </w:r>
          </w:p>
        </w:tc>
      </w:tr>
    </w:tbl>
    <w:p w14:paraId="33D4BB7F">
      <w:pPr>
        <w:ind w:firstLine="600"/>
      </w:pPr>
      <w:r>
        <w:br w:type="page"/>
      </w:r>
    </w:p>
    <w:p w14:paraId="24496F75">
      <w:pPr>
        <w:spacing w:line="240" w:lineRule="atLeast"/>
        <w:ind w:firstLine="120"/>
        <w:rPr>
          <w:sz w:val="6"/>
          <w:szCs w:val="6"/>
        </w:rPr>
      </w:pPr>
    </w:p>
    <w:p w14:paraId="231ECD3E">
      <w:pPr>
        <w:pStyle w:val="10"/>
        <w:tabs>
          <w:tab w:val="left" w:pos="420"/>
        </w:tabs>
        <w:spacing w:line="240" w:lineRule="auto"/>
        <w:outlineLvl w:val="0"/>
        <w:rPr>
          <w:rFonts w:cs="黑体"/>
          <w:b/>
          <w:bCs/>
          <w:sz w:val="30"/>
          <w:szCs w:val="30"/>
        </w:rPr>
      </w:pPr>
      <w:bookmarkStart w:id="144" w:name="_Toc2003"/>
      <w:bookmarkStart w:id="145" w:name="_Toc13642"/>
      <w:r>
        <w:rPr>
          <w:rFonts w:hint="eastAsia" w:cs="黑体"/>
          <w:b/>
          <w:bCs/>
          <w:sz w:val="30"/>
          <w:szCs w:val="30"/>
        </w:rPr>
        <w:t xml:space="preserve">表7  </w:t>
      </w:r>
      <w:r>
        <w:rPr>
          <w:rFonts w:hint="eastAsia" w:cs="黑体"/>
          <w:b/>
          <w:bCs/>
          <w:sz w:val="30"/>
          <w:szCs w:val="30"/>
          <w:lang w:eastAsia="zh-CN"/>
        </w:rPr>
        <w:t>红花铺镇</w:t>
      </w:r>
      <w:r>
        <w:rPr>
          <w:rFonts w:hint="eastAsia" w:cs="黑体"/>
          <w:b/>
          <w:bCs/>
          <w:sz w:val="30"/>
          <w:szCs w:val="30"/>
        </w:rPr>
        <w:t>自然保护地一览表</w:t>
      </w:r>
      <w:bookmarkEnd w:id="144"/>
      <w:bookmarkEnd w:id="145"/>
    </w:p>
    <w:p w14:paraId="56A4847D">
      <w:pPr>
        <w:pStyle w:val="24"/>
        <w:spacing w:beforeAutospacing="0" w:afterAutospacing="0" w:line="240" w:lineRule="atLeast"/>
        <w:ind w:firstLine="0" w:firstLineChars="0"/>
        <w:jc w:val="right"/>
        <w:rPr>
          <w:rFonts w:ascii="仿宋" w:hAnsi="仿宋" w:eastAsia="仿宋" w:cs="仿宋"/>
          <w:color w:val="000000"/>
          <w:szCs w:val="24"/>
        </w:rPr>
      </w:pPr>
      <w:r>
        <w:rPr>
          <w:rFonts w:hint="eastAsia" w:ascii="仿宋" w:hAnsi="仿宋" w:eastAsia="仿宋" w:cs="仿宋"/>
          <w:color w:val="000000"/>
          <w:szCs w:val="24"/>
        </w:rPr>
        <w:t>单位：公顷</w:t>
      </w:r>
    </w:p>
    <w:tbl>
      <w:tblPr>
        <w:tblStyle w:val="27"/>
        <w:tblW w:w="4996" w:type="pct"/>
        <w:tblInd w:w="0" w:type="dxa"/>
        <w:tblLayout w:type="fixed"/>
        <w:tblCellMar>
          <w:top w:w="0" w:type="dxa"/>
          <w:left w:w="108" w:type="dxa"/>
          <w:bottom w:w="0" w:type="dxa"/>
          <w:right w:w="108" w:type="dxa"/>
        </w:tblCellMar>
      </w:tblPr>
      <w:tblGrid>
        <w:gridCol w:w="653"/>
        <w:gridCol w:w="2287"/>
        <w:gridCol w:w="2105"/>
        <w:gridCol w:w="1251"/>
        <w:gridCol w:w="1528"/>
        <w:gridCol w:w="1059"/>
      </w:tblGrid>
      <w:tr w14:paraId="402C817F">
        <w:tblPrEx>
          <w:tblCellMar>
            <w:top w:w="0" w:type="dxa"/>
            <w:left w:w="108" w:type="dxa"/>
            <w:bottom w:w="0" w:type="dxa"/>
            <w:right w:w="108" w:type="dxa"/>
          </w:tblCellMar>
        </w:tblPrEx>
        <w:trPr>
          <w:trHeight w:val="634"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4474">
            <w:pPr>
              <w:spacing w:line="240" w:lineRule="auto"/>
              <w:ind w:firstLine="0" w:firstLineChars="0"/>
              <w:jc w:val="center"/>
              <w:textAlignment w:val="center"/>
              <w:rPr>
                <w:rFonts w:ascii="仿宋_GB2312" w:hAnsi="宋体" w:cs="仿宋_GB2312"/>
                <w:b/>
                <w:bCs/>
                <w:color w:val="000000"/>
                <w:kern w:val="0"/>
                <w:sz w:val="24"/>
                <w:szCs w:val="24"/>
                <w:lang w:bidi="ar"/>
              </w:rPr>
            </w:pPr>
            <w:r>
              <w:rPr>
                <w:rFonts w:hint="eastAsia" w:ascii="仿宋_GB2312" w:hAnsi="宋体" w:cs="仿宋_GB2312"/>
                <w:b/>
                <w:bCs/>
                <w:color w:val="000000"/>
                <w:kern w:val="0"/>
                <w:sz w:val="24"/>
                <w:szCs w:val="24"/>
                <w:lang w:bidi="ar"/>
              </w:rPr>
              <w:t>序号</w:t>
            </w:r>
          </w:p>
        </w:tc>
        <w:tc>
          <w:tcPr>
            <w:tcW w:w="1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0682">
            <w:pPr>
              <w:spacing w:line="240" w:lineRule="auto"/>
              <w:ind w:firstLine="0" w:firstLineChars="0"/>
              <w:jc w:val="center"/>
              <w:textAlignment w:val="center"/>
              <w:rPr>
                <w:rFonts w:ascii="仿宋_GB2312" w:hAnsi="宋体" w:cs="仿宋_GB2312"/>
                <w:b/>
                <w:bCs/>
                <w:color w:val="000000"/>
                <w:kern w:val="0"/>
                <w:sz w:val="24"/>
                <w:szCs w:val="24"/>
                <w:lang w:bidi="ar"/>
              </w:rPr>
            </w:pPr>
            <w:r>
              <w:rPr>
                <w:rFonts w:hint="eastAsia" w:ascii="仿宋_GB2312" w:hAnsi="宋体" w:cs="仿宋_GB2312"/>
                <w:b/>
                <w:bCs/>
                <w:color w:val="000000"/>
                <w:kern w:val="0"/>
                <w:sz w:val="24"/>
                <w:szCs w:val="24"/>
                <w:lang w:bidi="ar"/>
              </w:rPr>
              <w:t>名称</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C2D6">
            <w:pPr>
              <w:spacing w:line="240" w:lineRule="auto"/>
              <w:ind w:firstLine="0" w:firstLineChars="0"/>
              <w:jc w:val="center"/>
              <w:textAlignment w:val="center"/>
              <w:rPr>
                <w:rFonts w:ascii="仿宋_GB2312" w:hAnsi="宋体" w:cs="仿宋_GB2312"/>
                <w:b/>
                <w:bCs/>
                <w:color w:val="000000"/>
                <w:kern w:val="0"/>
                <w:sz w:val="24"/>
                <w:szCs w:val="24"/>
                <w:lang w:bidi="ar"/>
              </w:rPr>
            </w:pPr>
            <w:r>
              <w:rPr>
                <w:rFonts w:hint="eastAsia" w:ascii="仿宋_GB2312" w:hAnsi="宋体" w:cs="仿宋_GB2312"/>
                <w:b/>
                <w:bCs/>
                <w:color w:val="000000"/>
                <w:kern w:val="0"/>
                <w:sz w:val="24"/>
                <w:szCs w:val="24"/>
                <w:lang w:bidi="ar"/>
              </w:rPr>
              <w:t>所在行政村</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FAD20">
            <w:pPr>
              <w:spacing w:line="240" w:lineRule="auto"/>
              <w:ind w:firstLine="0" w:firstLineChars="0"/>
              <w:jc w:val="center"/>
              <w:textAlignment w:val="center"/>
              <w:rPr>
                <w:rFonts w:ascii="仿宋_GB2312" w:hAnsi="宋体" w:cs="仿宋_GB2312"/>
                <w:b/>
                <w:bCs/>
                <w:color w:val="000000"/>
                <w:kern w:val="0"/>
                <w:sz w:val="24"/>
                <w:szCs w:val="24"/>
                <w:lang w:bidi="ar"/>
              </w:rPr>
            </w:pPr>
            <w:r>
              <w:rPr>
                <w:rFonts w:hint="eastAsia" w:ascii="仿宋_GB2312" w:hAnsi="宋体" w:cs="仿宋_GB2312"/>
                <w:b/>
                <w:bCs/>
                <w:color w:val="000000"/>
                <w:kern w:val="0"/>
                <w:sz w:val="24"/>
                <w:szCs w:val="24"/>
                <w:lang w:bidi="ar"/>
              </w:rPr>
              <w:t>面积</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7572">
            <w:pPr>
              <w:spacing w:line="240" w:lineRule="auto"/>
              <w:ind w:firstLine="0" w:firstLineChars="0"/>
              <w:jc w:val="center"/>
              <w:textAlignment w:val="center"/>
              <w:rPr>
                <w:rFonts w:ascii="仿宋_GB2312" w:hAnsi="宋体" w:cs="仿宋_GB2312"/>
                <w:b/>
                <w:bCs/>
                <w:color w:val="000000"/>
                <w:kern w:val="0"/>
                <w:sz w:val="24"/>
                <w:szCs w:val="24"/>
                <w:lang w:bidi="ar"/>
              </w:rPr>
            </w:pPr>
            <w:r>
              <w:rPr>
                <w:rFonts w:hint="eastAsia" w:ascii="仿宋_GB2312" w:hAnsi="宋体" w:cs="仿宋_GB2312"/>
                <w:b/>
                <w:bCs/>
                <w:color w:val="000000"/>
                <w:kern w:val="0"/>
                <w:sz w:val="24"/>
                <w:szCs w:val="24"/>
                <w:lang w:bidi="ar"/>
              </w:rPr>
              <w:t>保护地类型</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DD3B">
            <w:pPr>
              <w:spacing w:line="240" w:lineRule="auto"/>
              <w:ind w:firstLine="0" w:firstLineChars="0"/>
              <w:jc w:val="center"/>
              <w:textAlignment w:val="center"/>
              <w:rPr>
                <w:rFonts w:ascii="仿宋_GB2312" w:hAnsi="宋体" w:cs="仿宋_GB2312"/>
                <w:b/>
                <w:bCs/>
                <w:color w:val="000000"/>
                <w:kern w:val="0"/>
                <w:sz w:val="24"/>
                <w:szCs w:val="24"/>
                <w:lang w:bidi="ar"/>
              </w:rPr>
            </w:pPr>
            <w:r>
              <w:rPr>
                <w:rFonts w:hint="eastAsia" w:ascii="仿宋_GB2312" w:hAnsi="宋体" w:cs="仿宋_GB2312"/>
                <w:b/>
                <w:bCs/>
                <w:color w:val="000000"/>
                <w:kern w:val="0"/>
                <w:sz w:val="24"/>
                <w:szCs w:val="24"/>
                <w:lang w:bidi="ar"/>
              </w:rPr>
              <w:t>级别</w:t>
            </w:r>
          </w:p>
        </w:tc>
      </w:tr>
      <w:tr w14:paraId="0DFCDA26">
        <w:tblPrEx>
          <w:tblCellMar>
            <w:top w:w="0" w:type="dxa"/>
            <w:left w:w="108" w:type="dxa"/>
            <w:bottom w:w="0" w:type="dxa"/>
            <w:right w:w="108" w:type="dxa"/>
          </w:tblCellMar>
        </w:tblPrEx>
        <w:trPr>
          <w:trHeight w:val="68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2A8F">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287" w:type="pct"/>
            <w:vMerge w:val="restart"/>
            <w:tcBorders>
              <w:top w:val="single" w:color="000000" w:sz="4" w:space="0"/>
              <w:left w:val="single" w:color="000000" w:sz="4" w:space="0"/>
              <w:right w:val="single" w:color="000000" w:sz="4" w:space="0"/>
            </w:tcBorders>
            <w:shd w:val="clear" w:color="auto" w:fill="auto"/>
            <w:noWrap/>
            <w:vAlign w:val="center"/>
          </w:tcPr>
          <w:p w14:paraId="1749A708">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凤县嘉陵江国家湿地公园</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9C1A">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红花</w:t>
            </w:r>
            <w:r>
              <w:rPr>
                <w:rFonts w:hint="default" w:ascii="Times New Roman" w:hAnsi="Times New Roman" w:eastAsia="仿宋_GB2312" w:cs="Times New Roman"/>
                <w:color w:val="000000"/>
                <w:sz w:val="24"/>
                <w:szCs w:val="24"/>
              </w:rPr>
              <w:t>铺村</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1E11">
            <w:pPr>
              <w:spacing w:line="240" w:lineRule="auto"/>
              <w:ind w:firstLine="0" w:firstLineChars="0"/>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65.70</w:t>
            </w:r>
          </w:p>
        </w:tc>
        <w:tc>
          <w:tcPr>
            <w:tcW w:w="860" w:type="pct"/>
            <w:vMerge w:val="restart"/>
            <w:tcBorders>
              <w:top w:val="single" w:color="000000" w:sz="4" w:space="0"/>
              <w:left w:val="single" w:color="000000" w:sz="4" w:space="0"/>
              <w:right w:val="single" w:color="000000" w:sz="4" w:space="0"/>
            </w:tcBorders>
            <w:shd w:val="clear" w:color="auto" w:fill="auto"/>
            <w:noWrap/>
            <w:vAlign w:val="center"/>
          </w:tcPr>
          <w:p w14:paraId="142D0154">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自然公园</w:t>
            </w:r>
          </w:p>
        </w:tc>
        <w:tc>
          <w:tcPr>
            <w:tcW w:w="596" w:type="pct"/>
            <w:vMerge w:val="restart"/>
            <w:tcBorders>
              <w:top w:val="single" w:color="000000" w:sz="4" w:space="0"/>
              <w:left w:val="single" w:color="000000" w:sz="4" w:space="0"/>
              <w:right w:val="single" w:color="000000" w:sz="4" w:space="0"/>
            </w:tcBorders>
            <w:shd w:val="clear" w:color="auto" w:fill="auto"/>
            <w:noWrap/>
            <w:vAlign w:val="center"/>
          </w:tcPr>
          <w:p w14:paraId="37531F1D">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国家级</w:t>
            </w:r>
          </w:p>
        </w:tc>
      </w:tr>
      <w:tr w14:paraId="3AF0828F">
        <w:tblPrEx>
          <w:tblCellMar>
            <w:top w:w="0" w:type="dxa"/>
            <w:left w:w="108" w:type="dxa"/>
            <w:bottom w:w="0" w:type="dxa"/>
            <w:right w:w="108" w:type="dxa"/>
          </w:tblCellMar>
        </w:tblPrEx>
        <w:trPr>
          <w:trHeight w:val="68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5008">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287" w:type="pct"/>
            <w:vMerge w:val="continue"/>
            <w:tcBorders>
              <w:left w:val="single" w:color="000000" w:sz="4" w:space="0"/>
              <w:right w:val="single" w:color="000000" w:sz="4" w:space="0"/>
            </w:tcBorders>
            <w:shd w:val="clear" w:color="auto" w:fill="auto"/>
            <w:noWrap/>
            <w:vAlign w:val="center"/>
          </w:tcPr>
          <w:p w14:paraId="0C60F2D8">
            <w:pPr>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4B48">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白家店</w:t>
            </w:r>
            <w:r>
              <w:rPr>
                <w:rFonts w:hint="default" w:ascii="Times New Roman" w:hAnsi="Times New Roman" w:eastAsia="仿宋_GB2312" w:cs="Times New Roman"/>
                <w:color w:val="000000"/>
                <w:sz w:val="24"/>
                <w:szCs w:val="24"/>
              </w:rPr>
              <w:t>村</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50FB">
            <w:pPr>
              <w:spacing w:line="240" w:lineRule="auto"/>
              <w:ind w:firstLine="0" w:firstLineChars="0"/>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78.36</w:t>
            </w:r>
          </w:p>
        </w:tc>
        <w:tc>
          <w:tcPr>
            <w:tcW w:w="860" w:type="pct"/>
            <w:vMerge w:val="continue"/>
            <w:tcBorders>
              <w:left w:val="single" w:color="000000" w:sz="4" w:space="0"/>
              <w:right w:val="single" w:color="000000" w:sz="4" w:space="0"/>
            </w:tcBorders>
            <w:shd w:val="clear" w:color="auto" w:fill="auto"/>
            <w:noWrap/>
            <w:vAlign w:val="center"/>
          </w:tcPr>
          <w:p w14:paraId="05FA5560">
            <w:pPr>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c>
          <w:tcPr>
            <w:tcW w:w="596" w:type="pct"/>
            <w:vMerge w:val="continue"/>
            <w:tcBorders>
              <w:left w:val="single" w:color="000000" w:sz="4" w:space="0"/>
              <w:right w:val="single" w:color="000000" w:sz="4" w:space="0"/>
            </w:tcBorders>
            <w:shd w:val="clear" w:color="auto" w:fill="auto"/>
            <w:noWrap/>
            <w:vAlign w:val="center"/>
          </w:tcPr>
          <w:p w14:paraId="2C22B1F6">
            <w:pPr>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r>
      <w:tr w14:paraId="169329EC">
        <w:tblPrEx>
          <w:tblCellMar>
            <w:top w:w="0" w:type="dxa"/>
            <w:left w:w="108" w:type="dxa"/>
            <w:bottom w:w="0" w:type="dxa"/>
            <w:right w:w="108" w:type="dxa"/>
          </w:tblCellMar>
        </w:tblPrEx>
        <w:trPr>
          <w:trHeight w:val="68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72FF">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287" w:type="pct"/>
            <w:vMerge w:val="continue"/>
            <w:tcBorders>
              <w:left w:val="single" w:color="000000" w:sz="4" w:space="0"/>
              <w:right w:val="single" w:color="000000" w:sz="4" w:space="0"/>
            </w:tcBorders>
            <w:shd w:val="clear" w:color="auto" w:fill="auto"/>
            <w:noWrap/>
            <w:vAlign w:val="center"/>
          </w:tcPr>
          <w:p w14:paraId="3E580102">
            <w:pPr>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70D9">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永生</w:t>
            </w:r>
            <w:r>
              <w:rPr>
                <w:rFonts w:hint="default" w:ascii="Times New Roman" w:hAnsi="Times New Roman" w:eastAsia="仿宋_GB2312" w:cs="Times New Roman"/>
                <w:color w:val="000000"/>
                <w:sz w:val="24"/>
                <w:szCs w:val="24"/>
              </w:rPr>
              <w:t>村</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BF78">
            <w:pPr>
              <w:spacing w:line="240" w:lineRule="auto"/>
              <w:ind w:firstLine="0" w:firstLineChars="0"/>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83.95</w:t>
            </w:r>
          </w:p>
        </w:tc>
        <w:tc>
          <w:tcPr>
            <w:tcW w:w="860" w:type="pct"/>
            <w:vMerge w:val="continue"/>
            <w:tcBorders>
              <w:left w:val="single" w:color="000000" w:sz="4" w:space="0"/>
              <w:right w:val="single" w:color="000000" w:sz="4" w:space="0"/>
            </w:tcBorders>
            <w:shd w:val="clear" w:color="auto" w:fill="auto"/>
            <w:noWrap/>
            <w:vAlign w:val="center"/>
          </w:tcPr>
          <w:p w14:paraId="5ECAC5A3">
            <w:pPr>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c>
          <w:tcPr>
            <w:tcW w:w="596" w:type="pct"/>
            <w:vMerge w:val="continue"/>
            <w:tcBorders>
              <w:left w:val="single" w:color="000000" w:sz="4" w:space="0"/>
              <w:right w:val="single" w:color="000000" w:sz="4" w:space="0"/>
            </w:tcBorders>
            <w:shd w:val="clear" w:color="auto" w:fill="auto"/>
            <w:noWrap/>
            <w:vAlign w:val="center"/>
          </w:tcPr>
          <w:p w14:paraId="5A7D6F25">
            <w:pPr>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r>
      <w:tr w14:paraId="23BD8BE5">
        <w:tblPrEx>
          <w:tblCellMar>
            <w:top w:w="0" w:type="dxa"/>
            <w:left w:w="108" w:type="dxa"/>
            <w:bottom w:w="0" w:type="dxa"/>
            <w:right w:w="108" w:type="dxa"/>
          </w:tblCellMar>
        </w:tblPrEx>
        <w:trPr>
          <w:trHeight w:val="68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973E">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287" w:type="pct"/>
            <w:vMerge w:val="continue"/>
            <w:tcBorders>
              <w:left w:val="single" w:color="000000" w:sz="4" w:space="0"/>
              <w:right w:val="single" w:color="000000" w:sz="4" w:space="0"/>
            </w:tcBorders>
            <w:shd w:val="clear" w:color="auto" w:fill="auto"/>
            <w:noWrap/>
            <w:vAlign w:val="center"/>
          </w:tcPr>
          <w:p w14:paraId="0F6746B8">
            <w:pPr>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9A9E">
            <w:pPr>
              <w:spacing w:line="240" w:lineRule="auto"/>
              <w:ind w:firstLine="0" w:firstLineChars="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草凉驿</w:t>
            </w:r>
            <w:r>
              <w:rPr>
                <w:rFonts w:hint="default" w:ascii="Times New Roman" w:hAnsi="Times New Roman" w:eastAsia="仿宋_GB2312" w:cs="Times New Roman"/>
                <w:color w:val="000000"/>
                <w:sz w:val="24"/>
                <w:szCs w:val="24"/>
              </w:rPr>
              <w:t>村</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7459">
            <w:pPr>
              <w:spacing w:line="240" w:lineRule="auto"/>
              <w:ind w:firstLine="0" w:firstLineChars="0"/>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107.88</w:t>
            </w:r>
          </w:p>
        </w:tc>
        <w:tc>
          <w:tcPr>
            <w:tcW w:w="860" w:type="pct"/>
            <w:vMerge w:val="continue"/>
            <w:tcBorders>
              <w:left w:val="single" w:color="000000" w:sz="4" w:space="0"/>
              <w:right w:val="single" w:color="000000" w:sz="4" w:space="0"/>
            </w:tcBorders>
            <w:shd w:val="clear" w:color="auto" w:fill="auto"/>
            <w:noWrap/>
            <w:vAlign w:val="center"/>
          </w:tcPr>
          <w:p w14:paraId="09BE2742">
            <w:pPr>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c>
          <w:tcPr>
            <w:tcW w:w="596" w:type="pct"/>
            <w:vMerge w:val="continue"/>
            <w:tcBorders>
              <w:left w:val="single" w:color="000000" w:sz="4" w:space="0"/>
              <w:right w:val="single" w:color="000000" w:sz="4" w:space="0"/>
            </w:tcBorders>
            <w:shd w:val="clear" w:color="auto" w:fill="auto"/>
            <w:noWrap/>
            <w:vAlign w:val="center"/>
          </w:tcPr>
          <w:p w14:paraId="651E134F">
            <w:pPr>
              <w:spacing w:line="240" w:lineRule="auto"/>
              <w:ind w:firstLine="0" w:firstLineChars="0"/>
              <w:jc w:val="center"/>
              <w:textAlignment w:val="center"/>
              <w:rPr>
                <w:rFonts w:hint="default" w:ascii="Times New Roman" w:hAnsi="Times New Roman" w:eastAsia="仿宋_GB2312" w:cs="Times New Roman"/>
                <w:color w:val="000000"/>
                <w:sz w:val="24"/>
                <w:szCs w:val="24"/>
              </w:rPr>
            </w:pPr>
          </w:p>
        </w:tc>
      </w:tr>
      <w:tr w14:paraId="3ECCA493">
        <w:tblPrEx>
          <w:tblCellMar>
            <w:top w:w="0" w:type="dxa"/>
            <w:left w:w="108" w:type="dxa"/>
            <w:bottom w:w="0" w:type="dxa"/>
            <w:right w:w="108" w:type="dxa"/>
          </w:tblCellMar>
        </w:tblPrEx>
        <w:trPr>
          <w:trHeight w:val="680" w:hRule="atLeast"/>
        </w:trPr>
        <w:tc>
          <w:tcPr>
            <w:tcW w:w="28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ECB1">
            <w:pPr>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bidi="ar"/>
              </w:rPr>
              <w:t>合计</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A282">
            <w:pPr>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val="en-US" w:eastAsia="zh-CN" w:bidi="ar"/>
              </w:rPr>
            </w:pPr>
            <w:r>
              <w:rPr>
                <w:rFonts w:hint="default" w:ascii="Times New Roman" w:hAnsi="Times New Roman" w:eastAsia="仿宋_GB2312" w:cs="Times New Roman"/>
                <w:color w:val="000000"/>
                <w:kern w:val="0"/>
                <w:sz w:val="24"/>
                <w:szCs w:val="24"/>
                <w:lang w:val="en-US" w:eastAsia="zh-CN" w:bidi="ar"/>
              </w:rPr>
              <w:t>335.89</w:t>
            </w:r>
          </w:p>
        </w:tc>
        <w:tc>
          <w:tcPr>
            <w:tcW w:w="8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E161">
            <w:pPr>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bidi="ar"/>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D13D">
            <w:pPr>
              <w:spacing w:line="240" w:lineRule="auto"/>
              <w:ind w:firstLine="0" w:firstLineChars="0"/>
              <w:jc w:val="center"/>
              <w:textAlignment w:val="center"/>
              <w:rPr>
                <w:rFonts w:hint="default" w:ascii="Times New Roman" w:hAnsi="Times New Roman" w:eastAsia="仿宋_GB2312" w:cs="Times New Roman"/>
                <w:color w:val="000000"/>
                <w:kern w:val="0"/>
                <w:sz w:val="24"/>
                <w:szCs w:val="24"/>
                <w:lang w:bidi="ar"/>
              </w:rPr>
            </w:pPr>
          </w:p>
        </w:tc>
      </w:tr>
    </w:tbl>
    <w:p w14:paraId="0C7DBAB4">
      <w:pPr>
        <w:ind w:firstLine="600"/>
      </w:pPr>
      <w:r>
        <w:br w:type="page"/>
      </w:r>
    </w:p>
    <w:p w14:paraId="1B522240">
      <w:pPr>
        <w:spacing w:line="240" w:lineRule="atLeast"/>
        <w:ind w:firstLine="120"/>
        <w:rPr>
          <w:sz w:val="6"/>
          <w:szCs w:val="6"/>
        </w:rPr>
      </w:pPr>
    </w:p>
    <w:p w14:paraId="7B48E3C8">
      <w:pPr>
        <w:pStyle w:val="10"/>
        <w:tabs>
          <w:tab w:val="left" w:pos="420"/>
        </w:tabs>
        <w:spacing w:line="240" w:lineRule="auto"/>
        <w:outlineLvl w:val="0"/>
        <w:rPr>
          <w:rFonts w:cs="黑体"/>
          <w:b/>
          <w:bCs/>
          <w:sz w:val="30"/>
          <w:szCs w:val="30"/>
        </w:rPr>
      </w:pPr>
      <w:bookmarkStart w:id="146" w:name="_Toc13931"/>
      <w:bookmarkStart w:id="147" w:name="_Toc18235"/>
      <w:r>
        <w:rPr>
          <w:rFonts w:hint="eastAsia" w:cs="黑体"/>
          <w:b/>
          <w:bCs/>
          <w:sz w:val="30"/>
          <w:szCs w:val="30"/>
        </w:rPr>
        <w:t xml:space="preserve">表8  </w:t>
      </w:r>
      <w:r>
        <w:rPr>
          <w:rFonts w:hint="eastAsia" w:cs="黑体"/>
          <w:b/>
          <w:bCs/>
          <w:sz w:val="30"/>
          <w:szCs w:val="30"/>
          <w:lang w:eastAsia="zh-CN"/>
        </w:rPr>
        <w:t>红花铺镇</w:t>
      </w:r>
      <w:r>
        <w:rPr>
          <w:rFonts w:hint="eastAsia" w:cs="黑体"/>
          <w:b/>
          <w:bCs/>
          <w:sz w:val="30"/>
          <w:szCs w:val="30"/>
        </w:rPr>
        <w:t>历史文化资源一览表</w:t>
      </w:r>
      <w:bookmarkEnd w:id="146"/>
      <w:bookmarkEnd w:id="147"/>
    </w:p>
    <w:p w14:paraId="6091F1A4">
      <w:pPr>
        <w:pStyle w:val="24"/>
        <w:spacing w:beforeAutospacing="0" w:afterAutospacing="0" w:line="240" w:lineRule="atLeast"/>
        <w:ind w:firstLine="0" w:firstLineChars="0"/>
        <w:jc w:val="right"/>
        <w:rPr>
          <w:rFonts w:ascii="仿宋" w:hAnsi="仿宋" w:eastAsia="仿宋" w:cs="仿宋"/>
          <w:color w:val="000000"/>
          <w:szCs w:val="24"/>
        </w:rPr>
      </w:pPr>
    </w:p>
    <w:tbl>
      <w:tblPr>
        <w:tblStyle w:val="27"/>
        <w:tblW w:w="5000" w:type="pct"/>
        <w:tblInd w:w="0" w:type="dxa"/>
        <w:tblLayout w:type="fixed"/>
        <w:tblCellMar>
          <w:top w:w="0" w:type="dxa"/>
          <w:left w:w="108" w:type="dxa"/>
          <w:bottom w:w="0" w:type="dxa"/>
          <w:right w:w="108" w:type="dxa"/>
        </w:tblCellMar>
      </w:tblPr>
      <w:tblGrid>
        <w:gridCol w:w="543"/>
        <w:gridCol w:w="2743"/>
        <w:gridCol w:w="1968"/>
        <w:gridCol w:w="747"/>
        <w:gridCol w:w="1498"/>
        <w:gridCol w:w="1391"/>
      </w:tblGrid>
      <w:tr w14:paraId="4C484A5A">
        <w:tblPrEx>
          <w:tblCellMar>
            <w:top w:w="0" w:type="dxa"/>
            <w:left w:w="108" w:type="dxa"/>
            <w:bottom w:w="0" w:type="dxa"/>
            <w:right w:w="108" w:type="dxa"/>
          </w:tblCellMar>
        </w:tblPrEx>
        <w:trPr>
          <w:trHeight w:val="603"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25D4">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序号</w:t>
            </w:r>
          </w:p>
        </w:tc>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BB77">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名称</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6720">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类别</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BE97">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级别</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E678">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所在行政区</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A568">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保护范围</w:t>
            </w:r>
          </w:p>
        </w:tc>
      </w:tr>
      <w:tr w14:paraId="5481A243">
        <w:tblPrEx>
          <w:tblCellMar>
            <w:top w:w="0" w:type="dxa"/>
            <w:left w:w="108" w:type="dxa"/>
            <w:bottom w:w="0" w:type="dxa"/>
            <w:right w:w="108" w:type="dxa"/>
          </w:tblCellMar>
        </w:tblPrEx>
        <w:trPr>
          <w:trHeight w:val="56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2645">
            <w:pPr>
              <w:pStyle w:val="24"/>
              <w:spacing w:beforeAutospacing="0" w:afterAutospacing="0" w:line="240" w:lineRule="auto"/>
              <w:ind w:firstLine="0" w:firstLineChars="0"/>
              <w:jc w:val="center"/>
              <w:rPr>
                <w:rFonts w:ascii="仿宋" w:hAnsi="仿宋" w:eastAsia="仿宋" w:cs="仿宋"/>
                <w:color w:val="000000"/>
                <w:szCs w:val="24"/>
              </w:rPr>
            </w:pPr>
            <w:r>
              <w:rPr>
                <w:rFonts w:hint="eastAsia" w:ascii="仿宋" w:hAnsi="仿宋" w:eastAsia="仿宋" w:cs="仿宋"/>
                <w:color w:val="000000"/>
                <w:szCs w:val="24"/>
              </w:rPr>
              <w:t>1</w:t>
            </w:r>
          </w:p>
        </w:tc>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425E">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天台寺关帝殿</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074B">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近现代重要史迹及代表性建筑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2469">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省级</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9925">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红花铺村</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004D">
            <w:pPr>
              <w:pStyle w:val="24"/>
              <w:spacing w:beforeAutospacing="0" w:afterAutospacing="0" w:line="240" w:lineRule="auto"/>
              <w:ind w:firstLine="0" w:firstLineChars="0"/>
              <w:jc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四周延伸</w:t>
            </w:r>
            <w:r>
              <w:rPr>
                <w:rFonts w:hint="default" w:ascii="仿宋_GB2312" w:hAnsi="仿宋_GB2312" w:eastAsia="仿宋_GB2312" w:cs="仿宋_GB2312"/>
                <w:color w:val="000000"/>
                <w:kern w:val="2"/>
                <w:sz w:val="24"/>
                <w:szCs w:val="24"/>
                <w:lang w:val="en-US" w:eastAsia="zh-CN" w:bidi="ar-SA"/>
              </w:rPr>
              <w:t>50</w:t>
            </w:r>
            <w:r>
              <w:rPr>
                <w:rFonts w:hint="eastAsia" w:ascii="仿宋_GB2312" w:hAnsi="仿宋_GB2312" w:eastAsia="仿宋_GB2312" w:cs="仿宋_GB2312"/>
                <w:color w:val="000000"/>
                <w:kern w:val="2"/>
                <w:sz w:val="24"/>
                <w:szCs w:val="24"/>
                <w:lang w:val="en-US" w:eastAsia="zh-CN" w:bidi="ar-SA"/>
              </w:rPr>
              <w:t>米</w:t>
            </w:r>
          </w:p>
        </w:tc>
      </w:tr>
      <w:tr w14:paraId="7D6B8427">
        <w:tblPrEx>
          <w:tblCellMar>
            <w:top w:w="0" w:type="dxa"/>
            <w:left w:w="108" w:type="dxa"/>
            <w:bottom w:w="0" w:type="dxa"/>
            <w:right w:w="108" w:type="dxa"/>
          </w:tblCellMar>
        </w:tblPrEx>
        <w:trPr>
          <w:trHeight w:val="56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5A827">
            <w:pPr>
              <w:pStyle w:val="24"/>
              <w:spacing w:beforeAutospacing="0" w:afterAutospacing="0" w:line="240" w:lineRule="auto"/>
              <w:ind w:firstLine="0" w:firstLineChars="0"/>
              <w:jc w:val="center"/>
              <w:rPr>
                <w:rFonts w:ascii="仿宋" w:hAnsi="仿宋" w:eastAsia="仿宋" w:cs="仿宋"/>
                <w:color w:val="000000"/>
                <w:szCs w:val="24"/>
              </w:rPr>
            </w:pPr>
            <w:r>
              <w:rPr>
                <w:rFonts w:hint="eastAsia" w:ascii="仿宋" w:hAnsi="仿宋" w:eastAsia="仿宋" w:cs="仿宋"/>
                <w:color w:val="000000"/>
                <w:szCs w:val="24"/>
              </w:rPr>
              <w:t>2</w:t>
            </w:r>
          </w:p>
        </w:tc>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925B">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长桥古栈道遗址</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6C9B">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古遗址</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7CF7">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县级</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5D01">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永生村</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6062">
            <w:pPr>
              <w:pStyle w:val="24"/>
              <w:spacing w:beforeAutospacing="0" w:afterAutospacing="0" w:line="240" w:lineRule="auto"/>
              <w:ind w:firstLine="0" w:firstLineChars="0"/>
              <w:jc w:val="center"/>
              <w:rPr>
                <w:rFonts w:hint="default" w:ascii="仿宋_GB2312" w:hAnsi="仿宋_GB2312" w:eastAsia="仿宋_GB2312" w:cs="仿宋_GB2312"/>
                <w:color w:val="000000"/>
                <w:kern w:val="2"/>
                <w:sz w:val="24"/>
                <w:szCs w:val="24"/>
                <w:lang w:val="en-US" w:eastAsia="zh-CN" w:bidi="ar-SA"/>
              </w:rPr>
            </w:pPr>
            <w:r>
              <w:rPr>
                <w:rFonts w:hint="default" w:ascii="仿宋_GB2312" w:hAnsi="仿宋_GB2312" w:eastAsia="仿宋_GB2312" w:cs="仿宋_GB2312"/>
                <w:color w:val="000000"/>
                <w:kern w:val="2"/>
                <w:sz w:val="24"/>
                <w:szCs w:val="24"/>
                <w:lang w:val="en-US" w:eastAsia="zh-CN" w:bidi="ar-SA"/>
              </w:rPr>
              <w:t>100</w:t>
            </w:r>
            <w:r>
              <w:rPr>
                <w:rFonts w:hint="eastAsia" w:ascii="仿宋_GB2312" w:hAnsi="仿宋_GB2312" w:cs="仿宋_GB2312"/>
                <w:color w:val="000000"/>
                <w:kern w:val="2"/>
                <w:sz w:val="24"/>
                <w:szCs w:val="24"/>
                <w:lang w:val="en-US" w:eastAsia="zh-CN" w:bidi="ar-SA"/>
              </w:rPr>
              <w:t>平方米</w:t>
            </w:r>
          </w:p>
        </w:tc>
      </w:tr>
      <w:tr w14:paraId="098E683F">
        <w:tblPrEx>
          <w:tblCellMar>
            <w:top w:w="0" w:type="dxa"/>
            <w:left w:w="108" w:type="dxa"/>
            <w:bottom w:w="0" w:type="dxa"/>
            <w:right w:w="108" w:type="dxa"/>
          </w:tblCellMar>
        </w:tblPrEx>
        <w:trPr>
          <w:trHeight w:val="56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A716">
            <w:pPr>
              <w:pStyle w:val="24"/>
              <w:spacing w:beforeAutospacing="0" w:afterAutospacing="0" w:line="240" w:lineRule="auto"/>
              <w:ind w:firstLine="0" w:firstLineChars="0"/>
              <w:jc w:val="center"/>
              <w:rPr>
                <w:rFonts w:ascii="仿宋" w:hAnsi="仿宋" w:eastAsia="仿宋" w:cs="仿宋"/>
                <w:color w:val="000000"/>
                <w:szCs w:val="24"/>
              </w:rPr>
            </w:pPr>
            <w:r>
              <w:rPr>
                <w:rFonts w:hint="eastAsia" w:ascii="仿宋" w:hAnsi="仿宋" w:eastAsia="仿宋" w:cs="仿宋"/>
                <w:color w:val="000000"/>
                <w:szCs w:val="24"/>
              </w:rPr>
              <w:t>3</w:t>
            </w:r>
          </w:p>
        </w:tc>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FC83">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五里庙石塔</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BF6F">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古建筑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5542">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县级</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20C4">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红花铺村</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C0AB">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default" w:ascii="仿宋_GB2312" w:hAnsi="仿宋_GB2312" w:eastAsia="仿宋_GB2312" w:cs="仿宋_GB2312"/>
                <w:color w:val="000000"/>
                <w:kern w:val="2"/>
                <w:sz w:val="24"/>
                <w:szCs w:val="24"/>
                <w:lang w:val="en-US" w:eastAsia="zh-CN" w:bidi="ar-SA"/>
              </w:rPr>
              <w:t>10</w:t>
            </w:r>
            <w:r>
              <w:rPr>
                <w:rFonts w:hint="eastAsia" w:ascii="仿宋_GB2312" w:hAnsi="仿宋_GB2312" w:cs="仿宋_GB2312"/>
                <w:color w:val="000000"/>
                <w:kern w:val="2"/>
                <w:sz w:val="24"/>
                <w:szCs w:val="24"/>
                <w:lang w:val="en-US" w:eastAsia="zh-CN" w:bidi="ar-SA"/>
              </w:rPr>
              <w:t>平方米</w:t>
            </w:r>
          </w:p>
        </w:tc>
      </w:tr>
      <w:tr w14:paraId="63E62369">
        <w:tblPrEx>
          <w:tblCellMar>
            <w:top w:w="0" w:type="dxa"/>
            <w:left w:w="108" w:type="dxa"/>
            <w:bottom w:w="0" w:type="dxa"/>
            <w:right w:w="108" w:type="dxa"/>
          </w:tblCellMar>
        </w:tblPrEx>
        <w:trPr>
          <w:trHeight w:val="56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0E58">
            <w:pPr>
              <w:pStyle w:val="24"/>
              <w:spacing w:beforeAutospacing="0" w:afterAutospacing="0" w:line="240" w:lineRule="auto"/>
              <w:ind w:firstLine="0" w:firstLineChars="0"/>
              <w:jc w:val="center"/>
              <w:rPr>
                <w:rFonts w:ascii="仿宋" w:hAnsi="仿宋" w:eastAsia="仿宋" w:cs="仿宋"/>
                <w:color w:val="000000"/>
                <w:szCs w:val="24"/>
              </w:rPr>
            </w:pPr>
            <w:r>
              <w:rPr>
                <w:rFonts w:hint="eastAsia" w:ascii="仿宋" w:hAnsi="仿宋" w:eastAsia="仿宋" w:cs="仿宋"/>
                <w:color w:val="000000"/>
                <w:szCs w:val="24"/>
              </w:rPr>
              <w:t>4</w:t>
            </w:r>
          </w:p>
        </w:tc>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B86D">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永红遗址</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27EA">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古遗址</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8D68">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县级</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0B7A">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白家店村</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188D">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5000</w:t>
            </w:r>
            <w:r>
              <w:rPr>
                <w:rFonts w:hint="eastAsia" w:ascii="仿宋_GB2312" w:hAnsi="仿宋_GB2312" w:cs="仿宋_GB2312"/>
                <w:color w:val="000000"/>
                <w:kern w:val="2"/>
                <w:sz w:val="24"/>
                <w:szCs w:val="24"/>
                <w:lang w:val="en-US" w:eastAsia="zh-CN" w:bidi="ar-SA"/>
              </w:rPr>
              <w:t>平方米</w:t>
            </w:r>
          </w:p>
        </w:tc>
      </w:tr>
      <w:tr w14:paraId="103D6B96">
        <w:tblPrEx>
          <w:tblCellMar>
            <w:top w:w="0" w:type="dxa"/>
            <w:left w:w="108" w:type="dxa"/>
            <w:bottom w:w="0" w:type="dxa"/>
            <w:right w:w="108" w:type="dxa"/>
          </w:tblCellMar>
        </w:tblPrEx>
        <w:trPr>
          <w:trHeight w:val="56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39B5">
            <w:pPr>
              <w:pStyle w:val="24"/>
              <w:spacing w:beforeAutospacing="0" w:afterAutospacing="0" w:line="240" w:lineRule="auto"/>
              <w:ind w:firstLine="0" w:firstLineChars="0"/>
              <w:jc w:val="center"/>
              <w:rPr>
                <w:rFonts w:ascii="仿宋" w:hAnsi="仿宋" w:eastAsia="仿宋" w:cs="仿宋"/>
                <w:color w:val="000000"/>
                <w:szCs w:val="24"/>
              </w:rPr>
            </w:pPr>
            <w:r>
              <w:rPr>
                <w:rFonts w:hint="eastAsia" w:ascii="仿宋" w:hAnsi="仿宋" w:eastAsia="仿宋" w:cs="仿宋"/>
                <w:color w:val="000000"/>
                <w:szCs w:val="24"/>
              </w:rPr>
              <w:t>5</w:t>
            </w:r>
          </w:p>
        </w:tc>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61B2">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杨家老宅</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9141">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古建筑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1DD6D">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县级</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463B">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草凉驿村</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36FD">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四周延伸</w:t>
            </w:r>
            <w:r>
              <w:rPr>
                <w:rFonts w:hint="default" w:ascii="仿宋_GB2312" w:hAnsi="仿宋_GB2312" w:eastAsia="仿宋_GB2312" w:cs="仿宋_GB2312"/>
                <w:color w:val="000000"/>
                <w:kern w:val="2"/>
                <w:sz w:val="24"/>
                <w:szCs w:val="24"/>
                <w:lang w:val="en-US" w:eastAsia="zh-CN" w:bidi="ar-SA"/>
              </w:rPr>
              <w:t>50</w:t>
            </w:r>
            <w:r>
              <w:rPr>
                <w:rFonts w:hint="eastAsia" w:ascii="仿宋_GB2312" w:hAnsi="仿宋_GB2312" w:eastAsia="仿宋_GB2312" w:cs="仿宋_GB2312"/>
                <w:color w:val="000000"/>
                <w:kern w:val="2"/>
                <w:sz w:val="24"/>
                <w:szCs w:val="24"/>
                <w:lang w:val="en-US" w:eastAsia="zh-CN" w:bidi="ar-SA"/>
              </w:rPr>
              <w:t>米</w:t>
            </w:r>
          </w:p>
        </w:tc>
      </w:tr>
      <w:tr w14:paraId="53817E8B">
        <w:tblPrEx>
          <w:tblCellMar>
            <w:top w:w="0" w:type="dxa"/>
            <w:left w:w="108" w:type="dxa"/>
            <w:bottom w:w="0" w:type="dxa"/>
            <w:right w:w="108" w:type="dxa"/>
          </w:tblCellMar>
        </w:tblPrEx>
        <w:trPr>
          <w:trHeight w:val="567" w:hRule="atLeast"/>
        </w:trPr>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CBC2">
            <w:pPr>
              <w:pStyle w:val="24"/>
              <w:spacing w:beforeAutospacing="0" w:afterAutospacing="0" w:line="240" w:lineRule="auto"/>
              <w:ind w:firstLine="0" w:firstLineChars="0"/>
              <w:jc w:val="center"/>
              <w:rPr>
                <w:rFonts w:ascii="仿宋" w:hAnsi="仿宋" w:eastAsia="仿宋" w:cs="仿宋"/>
                <w:color w:val="000000"/>
                <w:szCs w:val="24"/>
              </w:rPr>
            </w:pPr>
            <w:r>
              <w:rPr>
                <w:rFonts w:hint="eastAsia" w:ascii="仿宋" w:hAnsi="仿宋" w:eastAsia="仿宋" w:cs="仿宋"/>
                <w:color w:val="000000"/>
                <w:szCs w:val="24"/>
              </w:rPr>
              <w:t>6</w:t>
            </w:r>
          </w:p>
        </w:tc>
        <w:tc>
          <w:tcPr>
            <w:tcW w:w="1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1D29">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孙永生烈士墓</w:t>
            </w:r>
          </w:p>
        </w:tc>
        <w:tc>
          <w:tcPr>
            <w:tcW w:w="11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A020">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近现代重要史迹及代表性建筑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7E40">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县级</w:t>
            </w:r>
          </w:p>
        </w:tc>
        <w:tc>
          <w:tcPr>
            <w:tcW w:w="8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789B">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永生村</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6620">
            <w:pPr>
              <w:pStyle w:val="24"/>
              <w:spacing w:beforeAutospacing="0" w:afterAutospacing="0" w:line="240" w:lineRule="auto"/>
              <w:ind w:firstLine="0" w:firstLineChars="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w:t>
            </w:r>
          </w:p>
        </w:tc>
      </w:tr>
    </w:tbl>
    <w:p w14:paraId="047731FE">
      <w:pPr>
        <w:ind w:firstLine="600"/>
      </w:pPr>
      <w:r>
        <w:br w:type="page"/>
      </w:r>
    </w:p>
    <w:p w14:paraId="27472DF4">
      <w:pPr>
        <w:spacing w:line="240" w:lineRule="atLeast"/>
        <w:ind w:firstLine="120"/>
        <w:rPr>
          <w:sz w:val="6"/>
          <w:szCs w:val="6"/>
        </w:rPr>
      </w:pPr>
    </w:p>
    <w:p w14:paraId="6E7F99B9">
      <w:pPr>
        <w:pStyle w:val="10"/>
        <w:tabs>
          <w:tab w:val="left" w:pos="420"/>
        </w:tabs>
        <w:spacing w:line="240" w:lineRule="auto"/>
        <w:outlineLvl w:val="0"/>
        <w:rPr>
          <w:rFonts w:cs="黑体"/>
          <w:b/>
          <w:bCs/>
          <w:sz w:val="30"/>
          <w:szCs w:val="30"/>
        </w:rPr>
      </w:pPr>
      <w:bookmarkStart w:id="148" w:name="_Toc3560"/>
      <w:bookmarkStart w:id="149" w:name="_Toc3934"/>
      <w:r>
        <w:rPr>
          <w:rFonts w:hint="eastAsia" w:cs="黑体"/>
          <w:b/>
          <w:bCs/>
          <w:sz w:val="30"/>
          <w:szCs w:val="30"/>
        </w:rPr>
        <w:t xml:space="preserve">表9  </w:t>
      </w:r>
      <w:r>
        <w:rPr>
          <w:rFonts w:hint="eastAsia" w:cs="黑体"/>
          <w:b/>
          <w:bCs/>
          <w:sz w:val="30"/>
          <w:szCs w:val="30"/>
          <w:lang w:eastAsia="zh-CN"/>
        </w:rPr>
        <w:t>红花铺镇</w:t>
      </w:r>
      <w:r>
        <w:rPr>
          <w:rFonts w:hint="eastAsia" w:cs="黑体"/>
          <w:b/>
          <w:bCs/>
          <w:kern w:val="2"/>
          <w:sz w:val="30"/>
          <w:szCs w:val="30"/>
        </w:rPr>
        <w:t>国土综合整治与生态修复项目安排</w:t>
      </w:r>
      <w:r>
        <w:rPr>
          <w:rFonts w:hint="eastAsia" w:cs="黑体"/>
          <w:b/>
          <w:bCs/>
          <w:sz w:val="30"/>
          <w:szCs w:val="30"/>
        </w:rPr>
        <w:t>表</w:t>
      </w:r>
      <w:bookmarkEnd w:id="148"/>
      <w:bookmarkEnd w:id="149"/>
    </w:p>
    <w:p w14:paraId="401C1E8D">
      <w:pPr>
        <w:pStyle w:val="24"/>
        <w:spacing w:beforeAutospacing="0" w:afterAutospacing="0" w:line="240" w:lineRule="atLeast"/>
        <w:ind w:firstLine="0" w:firstLineChars="0"/>
        <w:jc w:val="right"/>
        <w:rPr>
          <w:rFonts w:ascii="仿宋" w:hAnsi="仿宋" w:eastAsia="仿宋" w:cs="仿宋"/>
          <w:color w:val="000000"/>
          <w:szCs w:val="24"/>
        </w:rPr>
      </w:pPr>
      <w:r>
        <w:rPr>
          <w:rFonts w:hint="eastAsia" w:ascii="仿宋" w:hAnsi="仿宋" w:eastAsia="仿宋" w:cs="仿宋"/>
          <w:color w:val="000000"/>
          <w:szCs w:val="24"/>
        </w:rPr>
        <w:t>单位：公顷</w:t>
      </w:r>
    </w:p>
    <w:tbl>
      <w:tblPr>
        <w:tblStyle w:val="27"/>
        <w:tblW w:w="5000" w:type="pct"/>
        <w:jc w:val="center"/>
        <w:tblLayout w:type="fixed"/>
        <w:tblCellMar>
          <w:top w:w="0" w:type="dxa"/>
          <w:left w:w="108" w:type="dxa"/>
          <w:bottom w:w="0" w:type="dxa"/>
          <w:right w:w="108" w:type="dxa"/>
        </w:tblCellMar>
      </w:tblPr>
      <w:tblGrid>
        <w:gridCol w:w="435"/>
        <w:gridCol w:w="660"/>
        <w:gridCol w:w="1598"/>
        <w:gridCol w:w="1590"/>
        <w:gridCol w:w="1451"/>
        <w:gridCol w:w="815"/>
        <w:gridCol w:w="1160"/>
        <w:gridCol w:w="1181"/>
      </w:tblGrid>
      <w:tr w14:paraId="736A5B11">
        <w:tblPrEx>
          <w:tblCellMar>
            <w:top w:w="0" w:type="dxa"/>
            <w:left w:w="108" w:type="dxa"/>
            <w:bottom w:w="0" w:type="dxa"/>
            <w:right w:w="108" w:type="dxa"/>
          </w:tblCellMar>
        </w:tblPrEx>
        <w:trPr>
          <w:trHeight w:val="283" w:hRule="atLeast"/>
          <w:tblHeader/>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9A29">
            <w:pPr>
              <w:spacing w:line="240" w:lineRule="auto"/>
              <w:ind w:firstLine="0" w:firstLineChars="0"/>
              <w:jc w:val="center"/>
              <w:textAlignment w:val="center"/>
              <w:rPr>
                <w:rFonts w:ascii="仿宋_GB2312" w:hAnsi="宋体" w:cs="仿宋_GB2312"/>
                <w:b/>
                <w:bCs/>
                <w:color w:val="000000"/>
                <w:sz w:val="21"/>
                <w:szCs w:val="21"/>
              </w:rPr>
            </w:pPr>
            <w:r>
              <w:rPr>
                <w:rFonts w:hint="eastAsia" w:ascii="仿宋_GB2312" w:hAnsi="宋体" w:cs="仿宋_GB2312"/>
                <w:b/>
                <w:bCs/>
                <w:color w:val="000000"/>
                <w:kern w:val="0"/>
                <w:sz w:val="21"/>
                <w:szCs w:val="21"/>
                <w:lang w:bidi="ar"/>
              </w:rPr>
              <w:t>序号</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7229">
            <w:pPr>
              <w:spacing w:line="240" w:lineRule="auto"/>
              <w:ind w:firstLine="0" w:firstLineChars="0"/>
              <w:jc w:val="center"/>
              <w:textAlignment w:val="center"/>
              <w:rPr>
                <w:rFonts w:ascii="仿宋_GB2312" w:hAnsi="宋体" w:cs="仿宋_GB2312"/>
                <w:b/>
                <w:bCs/>
                <w:color w:val="000000"/>
                <w:sz w:val="21"/>
                <w:szCs w:val="21"/>
              </w:rPr>
            </w:pPr>
            <w:r>
              <w:rPr>
                <w:rFonts w:hint="eastAsia" w:ascii="仿宋_GB2312" w:hAnsi="宋体" w:cs="仿宋_GB2312"/>
                <w:b/>
                <w:bCs/>
                <w:color w:val="000000"/>
                <w:kern w:val="0"/>
                <w:sz w:val="21"/>
                <w:szCs w:val="21"/>
                <w:lang w:bidi="ar"/>
              </w:rPr>
              <w:t>项目类型</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8970">
            <w:pPr>
              <w:spacing w:line="240" w:lineRule="auto"/>
              <w:ind w:firstLine="0" w:firstLineChars="0"/>
              <w:jc w:val="center"/>
              <w:textAlignment w:val="center"/>
              <w:rPr>
                <w:rFonts w:ascii="仿宋_GB2312" w:hAnsi="宋体" w:cs="仿宋_GB2312"/>
                <w:b/>
                <w:bCs/>
                <w:color w:val="000000"/>
                <w:sz w:val="21"/>
                <w:szCs w:val="21"/>
              </w:rPr>
            </w:pPr>
            <w:r>
              <w:rPr>
                <w:rFonts w:hint="eastAsia" w:ascii="仿宋_GB2312" w:hAnsi="宋体" w:cs="仿宋_GB2312"/>
                <w:b/>
                <w:bCs/>
                <w:color w:val="000000"/>
                <w:kern w:val="0"/>
                <w:sz w:val="21"/>
                <w:szCs w:val="21"/>
                <w:lang w:bidi="ar"/>
              </w:rPr>
              <w:t>项目名称</w:t>
            </w:r>
          </w:p>
        </w:tc>
        <w:tc>
          <w:tcPr>
            <w:tcW w:w="89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B63C9EE">
            <w:pPr>
              <w:spacing w:line="240" w:lineRule="auto"/>
              <w:ind w:firstLine="0" w:firstLineChars="0"/>
              <w:jc w:val="center"/>
              <w:textAlignment w:val="center"/>
              <w:rPr>
                <w:rFonts w:ascii="仿宋_GB2312" w:hAnsi="宋体" w:cs="仿宋_GB2312"/>
                <w:b/>
                <w:bCs/>
                <w:color w:val="000000"/>
                <w:sz w:val="21"/>
                <w:szCs w:val="21"/>
              </w:rPr>
            </w:pPr>
            <w:r>
              <w:rPr>
                <w:rFonts w:hint="eastAsia" w:ascii="仿宋_GB2312" w:hAnsi="宋体" w:cs="仿宋_GB2312"/>
                <w:b/>
                <w:bCs/>
                <w:color w:val="000000"/>
                <w:kern w:val="0"/>
                <w:sz w:val="21"/>
                <w:szCs w:val="21"/>
                <w:lang w:bidi="ar"/>
              </w:rPr>
              <w:t>重点任务</w:t>
            </w:r>
          </w:p>
        </w:tc>
        <w:tc>
          <w:tcPr>
            <w:tcW w:w="81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13FEDE0">
            <w:pPr>
              <w:spacing w:line="240" w:lineRule="auto"/>
              <w:ind w:firstLine="0" w:firstLineChars="0"/>
              <w:jc w:val="center"/>
              <w:textAlignment w:val="center"/>
              <w:rPr>
                <w:rFonts w:ascii="仿宋_GB2312" w:hAnsi="宋体" w:cs="仿宋_GB2312"/>
                <w:b/>
                <w:bCs/>
                <w:color w:val="000000"/>
                <w:sz w:val="21"/>
                <w:szCs w:val="21"/>
              </w:rPr>
            </w:pPr>
            <w:r>
              <w:rPr>
                <w:rFonts w:hint="eastAsia" w:ascii="仿宋_GB2312" w:hAnsi="宋体" w:cs="仿宋_GB2312"/>
                <w:b/>
                <w:bCs/>
                <w:color w:val="000000"/>
                <w:kern w:val="0"/>
                <w:sz w:val="21"/>
                <w:szCs w:val="21"/>
                <w:lang w:bidi="ar"/>
              </w:rPr>
              <w:t>实施区域</w:t>
            </w:r>
          </w:p>
        </w:tc>
        <w:tc>
          <w:tcPr>
            <w:tcW w:w="45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FF2E8AF">
            <w:pPr>
              <w:spacing w:line="240" w:lineRule="auto"/>
              <w:ind w:firstLine="0" w:firstLineChars="0"/>
              <w:jc w:val="center"/>
              <w:textAlignment w:val="center"/>
              <w:rPr>
                <w:rFonts w:ascii="仿宋_GB2312" w:hAnsi="宋体" w:cs="仿宋_GB2312"/>
                <w:b/>
                <w:bCs/>
                <w:color w:val="000000"/>
                <w:sz w:val="21"/>
                <w:szCs w:val="21"/>
              </w:rPr>
            </w:pPr>
            <w:r>
              <w:rPr>
                <w:rFonts w:hint="eastAsia" w:ascii="仿宋_GB2312" w:hAnsi="宋体" w:cs="仿宋_GB2312"/>
                <w:b/>
                <w:bCs/>
                <w:color w:val="000000"/>
                <w:kern w:val="0"/>
                <w:sz w:val="21"/>
                <w:szCs w:val="21"/>
                <w:lang w:bidi="ar"/>
              </w:rPr>
              <w:t>建设规模</w:t>
            </w:r>
          </w:p>
        </w:tc>
        <w:tc>
          <w:tcPr>
            <w:tcW w:w="65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0A1EC5A">
            <w:pPr>
              <w:spacing w:line="240" w:lineRule="auto"/>
              <w:ind w:firstLine="0" w:firstLineChars="0"/>
              <w:jc w:val="center"/>
              <w:textAlignment w:val="center"/>
              <w:rPr>
                <w:rFonts w:ascii="仿宋_GB2312" w:hAnsi="宋体" w:cs="仿宋_GB2312"/>
                <w:b/>
                <w:bCs/>
                <w:color w:val="000000"/>
                <w:sz w:val="21"/>
                <w:szCs w:val="21"/>
              </w:rPr>
            </w:pPr>
            <w:r>
              <w:rPr>
                <w:rFonts w:hint="eastAsia" w:ascii="仿宋_GB2312" w:hAnsi="宋体" w:cs="仿宋_GB2312"/>
                <w:b/>
                <w:bCs/>
                <w:color w:val="000000"/>
                <w:kern w:val="0"/>
                <w:sz w:val="21"/>
                <w:szCs w:val="21"/>
                <w:lang w:bidi="ar"/>
              </w:rPr>
              <w:t>预期目标</w:t>
            </w:r>
          </w:p>
        </w:tc>
        <w:tc>
          <w:tcPr>
            <w:tcW w:w="66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49F73D2">
            <w:pPr>
              <w:spacing w:line="240" w:lineRule="auto"/>
              <w:ind w:firstLine="0" w:firstLineChars="0"/>
              <w:jc w:val="center"/>
              <w:textAlignment w:val="center"/>
              <w:rPr>
                <w:rFonts w:ascii="仿宋_GB2312" w:hAnsi="宋体" w:cs="仿宋_GB2312"/>
                <w:b/>
                <w:bCs/>
                <w:color w:val="000000"/>
                <w:kern w:val="0"/>
                <w:sz w:val="21"/>
                <w:szCs w:val="21"/>
                <w:lang w:bidi="ar"/>
              </w:rPr>
            </w:pPr>
            <w:r>
              <w:rPr>
                <w:rFonts w:hint="eastAsia" w:ascii="仿宋_GB2312" w:hAnsi="宋体" w:cs="仿宋_GB2312"/>
                <w:b/>
                <w:bCs/>
                <w:color w:val="000000"/>
                <w:kern w:val="0"/>
                <w:sz w:val="21"/>
                <w:szCs w:val="21"/>
                <w:lang w:bidi="ar"/>
              </w:rPr>
              <w:t>建设时序</w:t>
            </w:r>
          </w:p>
        </w:tc>
      </w:tr>
      <w:tr w14:paraId="2FC484CA">
        <w:tblPrEx>
          <w:tblCellMar>
            <w:top w:w="0" w:type="dxa"/>
            <w:left w:w="108" w:type="dxa"/>
            <w:bottom w:w="0" w:type="dxa"/>
            <w:right w:w="108" w:type="dxa"/>
          </w:tblCellMar>
        </w:tblPrEx>
        <w:trPr>
          <w:trHeight w:val="1345"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A225">
            <w:pPr>
              <w:spacing w:line="240" w:lineRule="auto"/>
              <w:ind w:firstLine="0" w:firstLineChars="0"/>
              <w:jc w:val="center"/>
              <w:textAlignment w:val="center"/>
              <w:rPr>
                <w:rFonts w:hint="eastAsia" w:ascii="Times New Roman" w:hAnsi="Times New Roman" w:eastAsia="仿宋_GB2312" w:cs="Times New Roman"/>
                <w:color w:val="000000"/>
                <w:sz w:val="21"/>
                <w:szCs w:val="21"/>
                <w:lang w:eastAsia="zh-CN"/>
              </w:rPr>
            </w:pPr>
            <w:r>
              <w:rPr>
                <w:rFonts w:hint="eastAsia" w:ascii="Times New Roman" w:hAnsi="Times New Roman" w:cs="Times New Roman"/>
                <w:color w:val="000000"/>
                <w:kern w:val="0"/>
                <w:sz w:val="21"/>
                <w:szCs w:val="21"/>
                <w:lang w:val="en-US" w:eastAsia="zh-CN" w:bidi="ar"/>
              </w:rPr>
              <w:t>1</w:t>
            </w:r>
          </w:p>
        </w:tc>
        <w:tc>
          <w:tcPr>
            <w:tcW w:w="371" w:type="pct"/>
            <w:vMerge w:val="restart"/>
            <w:tcBorders>
              <w:left w:val="single" w:color="000000" w:sz="4" w:space="0"/>
              <w:right w:val="single" w:color="000000" w:sz="4" w:space="0"/>
            </w:tcBorders>
            <w:shd w:val="clear" w:color="auto" w:fill="auto"/>
            <w:noWrap/>
            <w:vAlign w:val="center"/>
          </w:tcPr>
          <w:p w14:paraId="11E14A77">
            <w:pPr>
              <w:spacing w:line="240" w:lineRule="auto"/>
              <w:ind w:firstLine="0" w:firstLineChars="0"/>
              <w:jc w:val="center"/>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cs="Times New Roman"/>
                <w:color w:val="000000"/>
                <w:sz w:val="21"/>
                <w:szCs w:val="21"/>
                <w:lang w:val="en-US" w:eastAsia="zh-CN"/>
              </w:rPr>
              <w:t>国土综合整治</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DC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红花铺镇</w:t>
            </w:r>
            <w:r>
              <w:rPr>
                <w:rFonts w:hint="default" w:ascii="Times New Roman" w:hAnsi="Times New Roman" w:eastAsia="仿宋_GB2312" w:cs="Times New Roman"/>
                <w:i w:val="0"/>
                <w:iCs w:val="0"/>
                <w:color w:val="000000"/>
                <w:sz w:val="21"/>
                <w:szCs w:val="21"/>
                <w:u w:val="none"/>
              </w:rPr>
              <w:t>农用地整治项目</w:t>
            </w:r>
          </w:p>
        </w:tc>
        <w:tc>
          <w:tcPr>
            <w:tcW w:w="89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84FC0D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开展低效园地、林地整治开发，补充耕地</w:t>
            </w:r>
          </w:p>
        </w:tc>
        <w:tc>
          <w:tcPr>
            <w:tcW w:w="81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9F1FF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永生村、红花铺村、草凉驿村、白家店村</w:t>
            </w:r>
          </w:p>
        </w:tc>
        <w:tc>
          <w:tcPr>
            <w:tcW w:w="45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99885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lang w:val="en-US" w:eastAsia="zh-CN"/>
              </w:rPr>
            </w:pPr>
            <w:r>
              <w:rPr>
                <w:rFonts w:hint="eastAsia" w:ascii="Times New Roman" w:hAnsi="Times New Roman" w:cs="Times New Roman"/>
                <w:color w:val="000000"/>
                <w:sz w:val="21"/>
                <w:szCs w:val="21"/>
                <w:lang w:val="en-US" w:eastAsia="zh-CN"/>
              </w:rPr>
              <w:t>28.33</w:t>
            </w:r>
          </w:p>
        </w:tc>
        <w:tc>
          <w:tcPr>
            <w:tcW w:w="652" w:type="pct"/>
            <w:vMerge w:val="restart"/>
            <w:tcBorders>
              <w:top w:val="single" w:color="auto" w:sz="4" w:space="0"/>
              <w:left w:val="single" w:color="000000" w:sz="4" w:space="0"/>
              <w:right w:val="single" w:color="000000" w:sz="4" w:space="0"/>
            </w:tcBorders>
            <w:shd w:val="clear" w:color="auto" w:fill="auto"/>
            <w:noWrap/>
            <w:vAlign w:val="center"/>
          </w:tcPr>
          <w:p w14:paraId="5BBF08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增加有效耕地面积，提高农业生产能力</w:t>
            </w:r>
          </w:p>
        </w:tc>
        <w:tc>
          <w:tcPr>
            <w:tcW w:w="66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D0FAA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2021-2035</w:t>
            </w:r>
          </w:p>
        </w:tc>
      </w:tr>
      <w:tr w14:paraId="482B6B2A">
        <w:tblPrEx>
          <w:tblCellMar>
            <w:top w:w="0" w:type="dxa"/>
            <w:left w:w="108" w:type="dxa"/>
            <w:bottom w:w="0" w:type="dxa"/>
            <w:right w:w="108" w:type="dxa"/>
          </w:tblCellMar>
        </w:tblPrEx>
        <w:trPr>
          <w:trHeight w:val="285"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D670">
            <w:pPr>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w:t>
            </w:r>
          </w:p>
        </w:tc>
        <w:tc>
          <w:tcPr>
            <w:tcW w:w="371" w:type="pct"/>
            <w:vMerge w:val="continue"/>
            <w:tcBorders>
              <w:left w:val="single" w:color="000000" w:sz="4" w:space="0"/>
              <w:right w:val="single" w:color="000000" w:sz="4" w:space="0"/>
            </w:tcBorders>
            <w:shd w:val="clear" w:color="auto" w:fill="auto"/>
            <w:noWrap/>
            <w:vAlign w:val="center"/>
          </w:tcPr>
          <w:p w14:paraId="2C358173">
            <w:pPr>
              <w:spacing w:line="240" w:lineRule="auto"/>
              <w:ind w:firstLine="0" w:firstLineChars="0"/>
              <w:jc w:val="center"/>
              <w:textAlignment w:val="center"/>
              <w:rPr>
                <w:rFonts w:hint="default" w:ascii="Times New Roman" w:hAnsi="Times New Roman" w:eastAsia="仿宋_GB2312" w:cs="Times New Roman"/>
                <w:color w:val="000000"/>
                <w:sz w:val="21"/>
                <w:szCs w:val="21"/>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06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rPr>
              <w:t>宜耕后备资源开发</w:t>
            </w:r>
            <w:r>
              <w:rPr>
                <w:rFonts w:hint="default" w:ascii="Times New Roman" w:hAnsi="Times New Roman" w:eastAsia="仿宋_GB2312" w:cs="Times New Roman"/>
                <w:i w:val="0"/>
                <w:iCs w:val="0"/>
                <w:color w:val="000000"/>
                <w:sz w:val="21"/>
                <w:szCs w:val="21"/>
                <w:u w:val="none"/>
                <w:lang w:val="en-US" w:eastAsia="zh-CN"/>
              </w:rPr>
              <w:t>项目</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DA7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开展低效草地整治开发，补充耕地</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A8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红花铺村、草凉驿村</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8B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0.08</w:t>
            </w:r>
          </w:p>
        </w:tc>
        <w:tc>
          <w:tcPr>
            <w:tcW w:w="652" w:type="pct"/>
            <w:vMerge w:val="continue"/>
            <w:tcBorders>
              <w:left w:val="single" w:color="000000" w:sz="4" w:space="0"/>
              <w:bottom w:val="single" w:color="000000" w:sz="4" w:space="0"/>
              <w:right w:val="single" w:color="000000" w:sz="4" w:space="0"/>
            </w:tcBorders>
            <w:shd w:val="clear" w:color="auto" w:fill="auto"/>
            <w:noWrap/>
            <w:vAlign w:val="center"/>
          </w:tcPr>
          <w:p w14:paraId="437852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44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2021-2035</w:t>
            </w:r>
          </w:p>
        </w:tc>
      </w:tr>
      <w:tr w14:paraId="7D27D7D5">
        <w:tblPrEx>
          <w:tblCellMar>
            <w:top w:w="0" w:type="dxa"/>
            <w:left w:w="108" w:type="dxa"/>
            <w:bottom w:w="0" w:type="dxa"/>
            <w:right w:w="108" w:type="dxa"/>
          </w:tblCellMar>
        </w:tblPrEx>
        <w:trPr>
          <w:trHeight w:val="285"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68E0">
            <w:pPr>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3</w:t>
            </w:r>
          </w:p>
        </w:tc>
        <w:tc>
          <w:tcPr>
            <w:tcW w:w="371" w:type="pct"/>
            <w:vMerge w:val="continue"/>
            <w:tcBorders>
              <w:left w:val="single" w:color="000000" w:sz="4" w:space="0"/>
              <w:right w:val="single" w:color="000000" w:sz="4" w:space="0"/>
            </w:tcBorders>
            <w:shd w:val="clear" w:color="auto" w:fill="auto"/>
            <w:noWrap/>
            <w:vAlign w:val="center"/>
          </w:tcPr>
          <w:p w14:paraId="62F01009">
            <w:pPr>
              <w:spacing w:line="240" w:lineRule="auto"/>
              <w:ind w:firstLine="0" w:firstLineChars="0"/>
              <w:jc w:val="center"/>
              <w:textAlignment w:val="center"/>
              <w:rPr>
                <w:rFonts w:hint="default" w:ascii="Times New Roman" w:hAnsi="Times New Roman" w:eastAsia="仿宋_GB2312" w:cs="Times New Roman"/>
                <w:color w:val="000000"/>
                <w:sz w:val="21"/>
                <w:szCs w:val="21"/>
              </w:rPr>
            </w:pPr>
          </w:p>
        </w:tc>
        <w:tc>
          <w:tcPr>
            <w:tcW w:w="89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CECD0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白家店村废弃矿山复垦项目</w:t>
            </w:r>
          </w:p>
        </w:tc>
        <w:tc>
          <w:tcPr>
            <w:tcW w:w="89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1A20C6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废弃工矿用地复垦</w:t>
            </w:r>
          </w:p>
        </w:tc>
        <w:tc>
          <w:tcPr>
            <w:tcW w:w="81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2E4A5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白家店村</w:t>
            </w:r>
          </w:p>
        </w:tc>
        <w:tc>
          <w:tcPr>
            <w:tcW w:w="458"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17134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0.60</w:t>
            </w:r>
          </w:p>
        </w:tc>
        <w:tc>
          <w:tcPr>
            <w:tcW w:w="65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91C14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补充有效耕地</w:t>
            </w:r>
          </w:p>
        </w:tc>
        <w:tc>
          <w:tcPr>
            <w:tcW w:w="66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16A43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2021-2035</w:t>
            </w:r>
          </w:p>
        </w:tc>
      </w:tr>
      <w:tr w14:paraId="6F2813DA">
        <w:tblPrEx>
          <w:tblCellMar>
            <w:top w:w="0" w:type="dxa"/>
            <w:left w:w="108" w:type="dxa"/>
            <w:bottom w:w="0" w:type="dxa"/>
            <w:right w:w="108" w:type="dxa"/>
          </w:tblCellMar>
        </w:tblPrEx>
        <w:trPr>
          <w:trHeight w:val="285"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2CD0">
            <w:pPr>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4</w:t>
            </w:r>
          </w:p>
        </w:tc>
        <w:tc>
          <w:tcPr>
            <w:tcW w:w="371" w:type="pct"/>
            <w:vMerge w:val="continue"/>
            <w:tcBorders>
              <w:left w:val="single" w:color="000000" w:sz="4" w:space="0"/>
              <w:right w:val="single" w:color="auto" w:sz="4" w:space="0"/>
            </w:tcBorders>
            <w:shd w:val="clear" w:color="auto" w:fill="auto"/>
            <w:noWrap/>
            <w:vAlign w:val="center"/>
          </w:tcPr>
          <w:p w14:paraId="516229E2">
            <w:pPr>
              <w:spacing w:line="240" w:lineRule="auto"/>
              <w:ind w:firstLine="0" w:firstLineChars="0"/>
              <w:jc w:val="center"/>
              <w:textAlignment w:val="center"/>
              <w:rPr>
                <w:rFonts w:hint="default" w:ascii="Times New Roman" w:hAnsi="Times New Roman" w:eastAsia="仿宋_GB2312" w:cs="Times New Roman"/>
                <w:color w:val="000000"/>
                <w:sz w:val="21"/>
                <w:szCs w:val="21"/>
              </w:rPr>
            </w:pPr>
          </w:p>
        </w:tc>
        <w:tc>
          <w:tcPr>
            <w:tcW w:w="89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942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红花铺</w:t>
            </w:r>
            <w:r>
              <w:rPr>
                <w:rFonts w:hint="default" w:ascii="Times New Roman" w:hAnsi="Times New Roman" w:eastAsia="仿宋_GB2312" w:cs="Times New Roman"/>
                <w:i w:val="0"/>
                <w:iCs w:val="0"/>
                <w:color w:val="000000"/>
                <w:sz w:val="21"/>
                <w:szCs w:val="21"/>
                <w:u w:val="none"/>
              </w:rPr>
              <w:t>镇低效建设用地整治项目</w:t>
            </w:r>
          </w:p>
        </w:tc>
        <w:tc>
          <w:tcPr>
            <w:tcW w:w="89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ED1B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零星用地整合，低效用地技术改造、改变用途</w:t>
            </w:r>
          </w:p>
        </w:tc>
        <w:tc>
          <w:tcPr>
            <w:tcW w:w="81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89CA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红花铺村</w:t>
            </w:r>
          </w:p>
        </w:tc>
        <w:tc>
          <w:tcPr>
            <w:tcW w:w="45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305B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0.41</w:t>
            </w:r>
          </w:p>
        </w:tc>
        <w:tc>
          <w:tcPr>
            <w:tcW w:w="6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073E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促进镇区更新，盘活闲置用地</w:t>
            </w:r>
          </w:p>
        </w:tc>
        <w:tc>
          <w:tcPr>
            <w:tcW w:w="6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638D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2021-2035</w:t>
            </w:r>
          </w:p>
        </w:tc>
      </w:tr>
      <w:tr w14:paraId="26BEED34">
        <w:tblPrEx>
          <w:tblCellMar>
            <w:top w:w="0" w:type="dxa"/>
            <w:left w:w="108" w:type="dxa"/>
            <w:bottom w:w="0" w:type="dxa"/>
            <w:right w:w="108" w:type="dxa"/>
          </w:tblCellMar>
        </w:tblPrEx>
        <w:trPr>
          <w:trHeight w:val="1256"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2B9E">
            <w:pPr>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color w:val="000000"/>
                <w:kern w:val="0"/>
                <w:sz w:val="21"/>
                <w:szCs w:val="21"/>
                <w:lang w:bidi="ar"/>
              </w:rPr>
              <w:t>5</w:t>
            </w:r>
          </w:p>
        </w:tc>
        <w:tc>
          <w:tcPr>
            <w:tcW w:w="371" w:type="pct"/>
            <w:vMerge w:val="continue"/>
            <w:tcBorders>
              <w:left w:val="single" w:color="000000" w:sz="4" w:space="0"/>
              <w:right w:val="single" w:color="000000" w:sz="4" w:space="0"/>
            </w:tcBorders>
            <w:shd w:val="clear" w:color="auto" w:fill="auto"/>
            <w:noWrap/>
            <w:vAlign w:val="center"/>
          </w:tcPr>
          <w:p w14:paraId="6FC02D26">
            <w:pPr>
              <w:spacing w:line="240" w:lineRule="auto"/>
              <w:ind w:firstLine="0" w:firstLineChars="0"/>
              <w:jc w:val="center"/>
              <w:textAlignment w:val="center"/>
              <w:rPr>
                <w:rFonts w:hint="default" w:ascii="Times New Roman" w:hAnsi="Times New Roman" w:eastAsia="仿宋_GB2312" w:cs="Times New Roman"/>
                <w:color w:val="000000"/>
                <w:sz w:val="21"/>
                <w:szCs w:val="21"/>
              </w:rPr>
            </w:pPr>
          </w:p>
        </w:tc>
        <w:tc>
          <w:tcPr>
            <w:tcW w:w="89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5EAF5A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红花铺镇废弃、闲置宅基地整治项目</w:t>
            </w:r>
          </w:p>
        </w:tc>
        <w:tc>
          <w:tcPr>
            <w:tcW w:w="89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AFA3C3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闲置建设用地复垦，零星用地整合</w:t>
            </w:r>
          </w:p>
        </w:tc>
        <w:tc>
          <w:tcPr>
            <w:tcW w:w="816"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C6BF3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永生村、红花铺村、草凉驿村</w:t>
            </w:r>
          </w:p>
        </w:tc>
        <w:tc>
          <w:tcPr>
            <w:tcW w:w="458"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8B3BB4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i w:val="0"/>
                <w:iCs w:val="0"/>
                <w:color w:val="000000"/>
                <w:sz w:val="21"/>
                <w:szCs w:val="21"/>
                <w:u w:val="none"/>
                <w:lang w:val="en-US" w:eastAsia="zh-CN"/>
              </w:rPr>
              <w:t>5.6</w:t>
            </w:r>
            <w:r>
              <w:rPr>
                <w:rFonts w:hint="eastAsia" w:ascii="Times New Roman" w:hAnsi="Times New Roman" w:cs="Times New Roman"/>
                <w:i w:val="0"/>
                <w:iCs w:val="0"/>
                <w:color w:val="000000"/>
                <w:sz w:val="21"/>
                <w:szCs w:val="21"/>
                <w:u w:val="none"/>
                <w:lang w:val="en-US" w:eastAsia="zh-CN"/>
              </w:rPr>
              <w:t>1</w:t>
            </w:r>
          </w:p>
        </w:tc>
        <w:tc>
          <w:tcPr>
            <w:tcW w:w="65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8FBFB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控制建设用地总量，引导人口聚集</w:t>
            </w:r>
          </w:p>
        </w:tc>
        <w:tc>
          <w:tcPr>
            <w:tcW w:w="66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1D4CBF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2021-2035</w:t>
            </w:r>
          </w:p>
        </w:tc>
      </w:tr>
      <w:tr w14:paraId="16B69A3E">
        <w:tblPrEx>
          <w:tblCellMar>
            <w:top w:w="0" w:type="dxa"/>
            <w:left w:w="108" w:type="dxa"/>
            <w:bottom w:w="0" w:type="dxa"/>
            <w:right w:w="108" w:type="dxa"/>
          </w:tblCellMar>
        </w:tblPrEx>
        <w:trPr>
          <w:trHeight w:val="285"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639B">
            <w:pPr>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bidi="ar"/>
              </w:rPr>
              <w:t>6</w:t>
            </w:r>
          </w:p>
        </w:tc>
        <w:tc>
          <w:tcPr>
            <w:tcW w:w="371" w:type="pct"/>
            <w:vMerge w:val="restart"/>
            <w:tcBorders>
              <w:top w:val="single" w:color="000000" w:sz="4" w:space="0"/>
              <w:left w:val="single" w:color="000000" w:sz="4" w:space="0"/>
              <w:right w:val="single" w:color="000000" w:sz="4" w:space="0"/>
            </w:tcBorders>
            <w:shd w:val="clear" w:color="auto" w:fill="auto"/>
            <w:noWrap/>
            <w:vAlign w:val="center"/>
          </w:tcPr>
          <w:p w14:paraId="6193E710">
            <w:pPr>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山水林田湖草生态修复</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13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红花铺</w:t>
            </w:r>
            <w:r>
              <w:rPr>
                <w:rFonts w:hint="default" w:ascii="Times New Roman" w:hAnsi="Times New Roman" w:eastAsia="仿宋_GB2312" w:cs="Times New Roman"/>
                <w:i w:val="0"/>
                <w:iCs w:val="0"/>
                <w:color w:val="000000"/>
                <w:sz w:val="21"/>
                <w:szCs w:val="21"/>
                <w:u w:val="none"/>
              </w:rPr>
              <w:t>镇工矿用地</w:t>
            </w:r>
            <w:r>
              <w:rPr>
                <w:rFonts w:hint="default" w:ascii="Times New Roman" w:hAnsi="Times New Roman" w:eastAsia="仿宋_GB2312" w:cs="Times New Roman"/>
                <w:i w:val="0"/>
                <w:iCs w:val="0"/>
                <w:color w:val="000000"/>
                <w:sz w:val="21"/>
                <w:szCs w:val="21"/>
                <w:u w:val="none"/>
                <w:lang w:val="en-US" w:eastAsia="zh-CN"/>
              </w:rPr>
              <w:t>修复</w:t>
            </w:r>
            <w:r>
              <w:rPr>
                <w:rFonts w:hint="default" w:ascii="Times New Roman" w:hAnsi="Times New Roman" w:eastAsia="仿宋_GB2312" w:cs="Times New Roman"/>
                <w:i w:val="0"/>
                <w:iCs w:val="0"/>
                <w:color w:val="000000"/>
                <w:sz w:val="21"/>
                <w:szCs w:val="21"/>
                <w:u w:val="none"/>
              </w:rPr>
              <w:t>工程</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7F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工矿用地修复、环境治理</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E4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永生村、红花铺村</w:t>
            </w:r>
            <w:r>
              <w:rPr>
                <w:rFonts w:hint="eastAsia" w:ascii="Times New Roman" w:hAnsi="Times New Roman" w:cs="Times New Roman"/>
                <w:i w:val="0"/>
                <w:iCs w:val="0"/>
                <w:color w:val="000000"/>
                <w:sz w:val="21"/>
                <w:szCs w:val="21"/>
                <w:u w:val="none"/>
                <w:lang w:val="en-US" w:eastAsia="zh-CN"/>
              </w:rPr>
              <w:t>、</w:t>
            </w:r>
            <w:r>
              <w:rPr>
                <w:rFonts w:hint="default" w:ascii="Times New Roman" w:hAnsi="Times New Roman" w:eastAsia="仿宋_GB2312" w:cs="Times New Roman"/>
                <w:i w:val="0"/>
                <w:iCs w:val="0"/>
                <w:color w:val="000000"/>
                <w:sz w:val="21"/>
                <w:szCs w:val="21"/>
                <w:u w:val="none"/>
                <w:lang w:val="en-US" w:eastAsia="zh-CN"/>
              </w:rPr>
              <w:t>白家店村</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CE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3.72</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57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恢复提升矿区生态环境质量</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2C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2021-2035</w:t>
            </w:r>
          </w:p>
        </w:tc>
      </w:tr>
      <w:tr w14:paraId="1F890B26">
        <w:tblPrEx>
          <w:tblCellMar>
            <w:top w:w="0" w:type="dxa"/>
            <w:left w:w="108" w:type="dxa"/>
            <w:bottom w:w="0" w:type="dxa"/>
            <w:right w:w="108" w:type="dxa"/>
          </w:tblCellMar>
        </w:tblPrEx>
        <w:trPr>
          <w:trHeight w:val="285" w:hRule="atLeast"/>
          <w:jc w:val="center"/>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7695">
            <w:pPr>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7</w:t>
            </w:r>
          </w:p>
        </w:tc>
        <w:tc>
          <w:tcPr>
            <w:tcW w:w="371" w:type="pct"/>
            <w:vMerge w:val="continue"/>
            <w:tcBorders>
              <w:left w:val="single" w:color="000000" w:sz="4" w:space="0"/>
              <w:bottom w:val="single" w:color="000000" w:sz="4" w:space="0"/>
              <w:right w:val="single" w:color="000000" w:sz="4" w:space="0"/>
            </w:tcBorders>
            <w:shd w:val="clear" w:color="auto" w:fill="auto"/>
            <w:noWrap/>
            <w:vAlign w:val="center"/>
          </w:tcPr>
          <w:p w14:paraId="6E6DC984">
            <w:pPr>
              <w:spacing w:line="240" w:lineRule="auto"/>
              <w:ind w:firstLine="0" w:firstLineChars="0"/>
              <w:jc w:val="center"/>
              <w:textAlignment w:val="center"/>
              <w:rPr>
                <w:rFonts w:hint="default" w:ascii="Times New Roman" w:hAnsi="Times New Roman" w:eastAsia="仿宋_GB2312" w:cs="Times New Roman"/>
                <w:color w:val="000000"/>
                <w:sz w:val="21"/>
                <w:szCs w:val="21"/>
              </w:rPr>
            </w:pP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71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嘉陵江凤县黄牛铺镇、红花铺镇段河道生态治理、防洪工程</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1A2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对河岸进行植被修复，建设河堤，开展河道治理</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EE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永生村、红花铺村、草凉驿村</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B8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w:t>
            </w:r>
          </w:p>
        </w:tc>
        <w:tc>
          <w:tcPr>
            <w:tcW w:w="6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64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i w:val="0"/>
                <w:iCs w:val="0"/>
                <w:color w:val="000000"/>
                <w:sz w:val="21"/>
                <w:szCs w:val="21"/>
                <w:u w:val="none"/>
                <w:lang w:val="en-US" w:eastAsia="zh-CN"/>
              </w:rPr>
              <w:t>维系河道及其周边的生态系统稳定性</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68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Times New Roman"/>
                <w:color w:val="000000"/>
                <w:kern w:val="0"/>
                <w:sz w:val="21"/>
                <w:szCs w:val="21"/>
                <w:lang w:bidi="ar"/>
              </w:rPr>
            </w:pPr>
            <w:r>
              <w:rPr>
                <w:rFonts w:hint="default" w:ascii="Times New Roman" w:hAnsi="Times New Roman" w:eastAsia="仿宋_GB2312" w:cs="Times New Roman"/>
                <w:i w:val="0"/>
                <w:iCs w:val="0"/>
                <w:color w:val="000000"/>
                <w:kern w:val="0"/>
                <w:sz w:val="21"/>
                <w:szCs w:val="21"/>
                <w:u w:val="none"/>
                <w:lang w:val="en-US" w:eastAsia="zh-CN" w:bidi="ar"/>
              </w:rPr>
              <w:t>2021-2035</w:t>
            </w:r>
          </w:p>
        </w:tc>
      </w:tr>
    </w:tbl>
    <w:p w14:paraId="4693F2B6">
      <w:pPr>
        <w:spacing w:line="240" w:lineRule="atLeast"/>
        <w:ind w:firstLine="0" w:firstLineChars="0"/>
        <w:rPr>
          <w:sz w:val="6"/>
          <w:szCs w:val="6"/>
        </w:rPr>
      </w:pPr>
    </w:p>
    <w:p w14:paraId="1344941D">
      <w:pPr>
        <w:rPr>
          <w:rFonts w:hint="eastAsia" w:cs="黑体"/>
          <w:b/>
          <w:bCs/>
          <w:sz w:val="30"/>
          <w:szCs w:val="30"/>
        </w:rPr>
      </w:pPr>
      <w:r>
        <w:rPr>
          <w:rFonts w:hint="eastAsia" w:cs="黑体"/>
          <w:b/>
          <w:bCs/>
          <w:sz w:val="30"/>
          <w:szCs w:val="30"/>
        </w:rPr>
        <w:br w:type="page"/>
      </w:r>
    </w:p>
    <w:p w14:paraId="594E7CB5">
      <w:pPr>
        <w:pStyle w:val="10"/>
        <w:tabs>
          <w:tab w:val="left" w:pos="420"/>
        </w:tabs>
        <w:spacing w:after="204" w:afterLines="50" w:line="240" w:lineRule="auto"/>
        <w:outlineLvl w:val="0"/>
        <w:rPr>
          <w:rFonts w:cs="黑体"/>
          <w:b/>
          <w:bCs/>
          <w:sz w:val="30"/>
          <w:szCs w:val="30"/>
        </w:rPr>
      </w:pPr>
      <w:bookmarkStart w:id="150" w:name="_Toc19329"/>
      <w:bookmarkStart w:id="151" w:name="_Toc18192"/>
      <w:r>
        <w:rPr>
          <w:rFonts w:hint="eastAsia" w:cs="黑体"/>
          <w:b/>
          <w:bCs/>
          <w:sz w:val="30"/>
          <w:szCs w:val="30"/>
        </w:rPr>
        <w:t xml:space="preserve">表10  </w:t>
      </w:r>
      <w:r>
        <w:rPr>
          <w:rFonts w:hint="eastAsia" w:cs="黑体"/>
          <w:b/>
          <w:bCs/>
          <w:sz w:val="30"/>
          <w:szCs w:val="30"/>
          <w:lang w:eastAsia="zh-CN"/>
        </w:rPr>
        <w:t>红花铺镇</w:t>
      </w:r>
      <w:r>
        <w:rPr>
          <w:rFonts w:hint="eastAsia" w:cs="黑体"/>
          <w:b/>
          <w:bCs/>
          <w:sz w:val="30"/>
          <w:szCs w:val="30"/>
        </w:rPr>
        <w:t>村庄分级分类指引表</w:t>
      </w:r>
      <w:bookmarkEnd w:id="150"/>
      <w:bookmarkEnd w:id="151"/>
    </w:p>
    <w:tbl>
      <w:tblPr>
        <w:tblStyle w:val="27"/>
        <w:tblW w:w="5000" w:type="pct"/>
        <w:tblInd w:w="0" w:type="dxa"/>
        <w:tblLayout w:type="autofit"/>
        <w:tblCellMar>
          <w:top w:w="0" w:type="dxa"/>
          <w:left w:w="108" w:type="dxa"/>
          <w:bottom w:w="0" w:type="dxa"/>
          <w:right w:w="108" w:type="dxa"/>
        </w:tblCellMar>
      </w:tblPr>
      <w:tblGrid>
        <w:gridCol w:w="2205"/>
        <w:gridCol w:w="3649"/>
        <w:gridCol w:w="3036"/>
      </w:tblGrid>
      <w:tr w14:paraId="264B1274">
        <w:tblPrEx>
          <w:tblCellMar>
            <w:top w:w="0" w:type="dxa"/>
            <w:left w:w="108" w:type="dxa"/>
            <w:bottom w:w="0" w:type="dxa"/>
            <w:right w:w="108" w:type="dxa"/>
          </w:tblCellMar>
        </w:tblPrEx>
        <w:trPr>
          <w:trHeight w:val="538"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A7B7">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村庄名称</w:t>
            </w:r>
          </w:p>
        </w:tc>
        <w:tc>
          <w:tcPr>
            <w:tcW w:w="2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43C3">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村庄类别</w:t>
            </w: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2E65">
            <w:pPr>
              <w:pStyle w:val="24"/>
              <w:spacing w:beforeAutospacing="0" w:afterAutospacing="0" w:line="240" w:lineRule="auto"/>
              <w:ind w:firstLine="0" w:firstLineChars="0"/>
              <w:jc w:val="center"/>
              <w:rPr>
                <w:rFonts w:ascii="仿宋" w:hAnsi="仿宋" w:eastAsia="仿宋" w:cs="仿宋"/>
                <w:b/>
                <w:bCs/>
                <w:color w:val="000000"/>
                <w:szCs w:val="24"/>
              </w:rPr>
            </w:pPr>
            <w:r>
              <w:rPr>
                <w:rFonts w:hint="eastAsia" w:ascii="仿宋" w:hAnsi="仿宋" w:eastAsia="仿宋" w:cs="仿宋"/>
                <w:b/>
                <w:bCs/>
                <w:color w:val="000000"/>
                <w:szCs w:val="24"/>
              </w:rPr>
              <w:t>村庄级别</w:t>
            </w:r>
          </w:p>
        </w:tc>
      </w:tr>
      <w:tr w14:paraId="204F3173">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3E39">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永生村</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555C">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特色保护类</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F80F">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中心村</w:t>
            </w:r>
          </w:p>
        </w:tc>
      </w:tr>
      <w:tr w14:paraId="5C3219E2">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860A">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红花铺村</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A028">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城郊融合类</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890F">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lang w:val="en-US"/>
              </w:rPr>
            </w:pPr>
            <w:r>
              <w:rPr>
                <w:rFonts w:hint="eastAsia" w:ascii="Times New Roman" w:hAnsi="Times New Roman" w:cs="Times New Roman"/>
                <w:b w:val="0"/>
                <w:bCs w:val="0"/>
                <w:color w:val="000000"/>
                <w:sz w:val="24"/>
                <w:szCs w:val="24"/>
                <w:lang w:val="en-US" w:eastAsia="zh-CN"/>
              </w:rPr>
              <w:t>政府驻地村</w:t>
            </w:r>
          </w:p>
        </w:tc>
      </w:tr>
      <w:tr w14:paraId="632F1F53">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CFF8">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草凉驿村</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942A">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集聚提升类</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B455">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一般村</w:t>
            </w:r>
          </w:p>
        </w:tc>
      </w:tr>
      <w:tr w14:paraId="3F48CD76">
        <w:tblPrEx>
          <w:tblCellMar>
            <w:top w:w="0" w:type="dxa"/>
            <w:left w:w="108" w:type="dxa"/>
            <w:bottom w:w="0" w:type="dxa"/>
            <w:right w:w="108" w:type="dxa"/>
          </w:tblCellMar>
        </w:tblPrEx>
        <w:trPr>
          <w:trHeight w:val="454"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3AB9">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白家店村</w:t>
            </w:r>
          </w:p>
        </w:tc>
        <w:tc>
          <w:tcPr>
            <w:tcW w:w="3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9602">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集聚提升类</w:t>
            </w:r>
          </w:p>
        </w:tc>
        <w:tc>
          <w:tcPr>
            <w:tcW w:w="3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345F">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一般村</w:t>
            </w:r>
          </w:p>
        </w:tc>
      </w:tr>
      <w:tr w14:paraId="415C5A0E">
        <w:tblPrEx>
          <w:tblCellMar>
            <w:top w:w="0" w:type="dxa"/>
            <w:left w:w="108" w:type="dxa"/>
            <w:bottom w:w="0" w:type="dxa"/>
            <w:right w:w="108" w:type="dxa"/>
          </w:tblCellMar>
        </w:tblPrEx>
        <w:trPr>
          <w:trHeight w:val="454"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2BD7">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村庄类别数量</w:t>
            </w:r>
          </w:p>
        </w:tc>
        <w:tc>
          <w:tcPr>
            <w:tcW w:w="6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53C3">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default" w:ascii="Times New Roman" w:hAnsi="Times New Roman" w:eastAsia="仿宋_GB2312" w:cs="Times New Roman"/>
                <w:b w:val="0"/>
                <w:bCs w:val="0"/>
                <w:color w:val="000000"/>
                <w:sz w:val="24"/>
                <w:szCs w:val="24"/>
                <w:lang w:val="en-US" w:eastAsia="zh-CN"/>
              </w:rPr>
              <w:t>集聚提升类2个；特色保护类1个；城郊融合类1个。</w:t>
            </w:r>
          </w:p>
        </w:tc>
      </w:tr>
      <w:tr w14:paraId="6FC663D8">
        <w:tblPrEx>
          <w:tblCellMar>
            <w:top w:w="0" w:type="dxa"/>
            <w:left w:w="108" w:type="dxa"/>
            <w:bottom w:w="0" w:type="dxa"/>
            <w:right w:w="108" w:type="dxa"/>
          </w:tblCellMar>
        </w:tblPrEx>
        <w:trPr>
          <w:trHeight w:val="454" w:hRule="atLeast"/>
        </w:trPr>
        <w:tc>
          <w:tcPr>
            <w:tcW w:w="1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F214">
            <w:pPr>
              <w:pStyle w:val="24"/>
              <w:spacing w:beforeAutospacing="0" w:afterAutospacing="0" w:line="240" w:lineRule="auto"/>
              <w:ind w:firstLine="0" w:firstLineChars="0"/>
              <w:jc w:val="center"/>
              <w:rPr>
                <w:rFonts w:hint="default" w:ascii="Times New Roman" w:hAnsi="Times New Roman" w:eastAsia="仿宋_GB2312" w:cs="Times New Roman"/>
                <w:color w:val="000000"/>
                <w:szCs w:val="24"/>
              </w:rPr>
            </w:pPr>
            <w:r>
              <w:rPr>
                <w:rFonts w:hint="default" w:ascii="Times New Roman" w:hAnsi="Times New Roman" w:eastAsia="仿宋_GB2312" w:cs="Times New Roman"/>
                <w:color w:val="000000"/>
                <w:szCs w:val="24"/>
              </w:rPr>
              <w:t>村庄级别数量</w:t>
            </w:r>
          </w:p>
        </w:tc>
        <w:tc>
          <w:tcPr>
            <w:tcW w:w="66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67CB">
            <w:pPr>
              <w:pStyle w:val="2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仿宋_GB2312" w:cs="Times New Roman"/>
                <w:color w:val="000000"/>
                <w:szCs w:val="24"/>
              </w:rPr>
            </w:pPr>
            <w:r>
              <w:rPr>
                <w:rFonts w:hint="eastAsia" w:ascii="Times New Roman" w:hAnsi="Times New Roman" w:cs="Times New Roman"/>
                <w:b w:val="0"/>
                <w:bCs w:val="0"/>
                <w:color w:val="000000"/>
                <w:sz w:val="24"/>
                <w:szCs w:val="24"/>
                <w:lang w:val="en-US" w:eastAsia="zh-CN"/>
              </w:rPr>
              <w:t>政府驻地村1个，</w:t>
            </w:r>
            <w:r>
              <w:rPr>
                <w:rFonts w:hint="default" w:ascii="Times New Roman" w:hAnsi="Times New Roman" w:eastAsia="仿宋_GB2312" w:cs="Times New Roman"/>
                <w:b w:val="0"/>
                <w:bCs w:val="0"/>
                <w:color w:val="000000"/>
                <w:sz w:val="24"/>
                <w:szCs w:val="24"/>
                <w:lang w:val="en-US" w:eastAsia="zh-CN"/>
              </w:rPr>
              <w:t>中心村</w:t>
            </w:r>
            <w:r>
              <w:rPr>
                <w:rFonts w:hint="eastAsia" w:ascii="Times New Roman" w:hAnsi="Times New Roman" w:cs="Times New Roman"/>
                <w:b w:val="0"/>
                <w:bCs w:val="0"/>
                <w:color w:val="000000"/>
                <w:sz w:val="24"/>
                <w:szCs w:val="24"/>
                <w:lang w:val="en-US" w:eastAsia="zh-CN"/>
              </w:rPr>
              <w:t>1</w:t>
            </w:r>
            <w:r>
              <w:rPr>
                <w:rFonts w:hint="default" w:ascii="Times New Roman" w:hAnsi="Times New Roman" w:eastAsia="仿宋_GB2312" w:cs="Times New Roman"/>
                <w:b w:val="0"/>
                <w:bCs w:val="0"/>
                <w:color w:val="000000"/>
                <w:sz w:val="24"/>
                <w:szCs w:val="24"/>
                <w:lang w:val="en-US" w:eastAsia="zh-CN"/>
              </w:rPr>
              <w:t>个；一般村2个。</w:t>
            </w:r>
          </w:p>
        </w:tc>
      </w:tr>
    </w:tbl>
    <w:p w14:paraId="5FCB160C">
      <w:r>
        <w:br w:type="page"/>
      </w:r>
    </w:p>
    <w:p w14:paraId="273F7BE4">
      <w:pPr>
        <w:pStyle w:val="2"/>
      </w:pPr>
    </w:p>
    <w:p w14:paraId="23D07C05">
      <w:pPr>
        <w:pStyle w:val="2"/>
      </w:pPr>
    </w:p>
    <w:p w14:paraId="6D043833">
      <w:pPr>
        <w:pStyle w:val="10"/>
        <w:tabs>
          <w:tab w:val="left" w:pos="420"/>
        </w:tabs>
        <w:spacing w:after="204" w:afterLines="50" w:line="240" w:lineRule="auto"/>
        <w:outlineLvl w:val="0"/>
        <w:rPr>
          <w:rFonts w:cs="黑体"/>
          <w:b/>
          <w:bCs/>
          <w:sz w:val="30"/>
          <w:szCs w:val="30"/>
        </w:rPr>
      </w:pPr>
      <w:r>
        <w:rPr>
          <w:rFonts w:hint="eastAsia" w:cs="黑体"/>
          <w:b/>
          <w:bCs/>
          <w:sz w:val="30"/>
          <w:szCs w:val="30"/>
        </w:rPr>
        <w:t>表1</w:t>
      </w:r>
      <w:r>
        <w:rPr>
          <w:rFonts w:hint="eastAsia" w:cs="黑体"/>
          <w:b/>
          <w:bCs/>
          <w:sz w:val="30"/>
          <w:szCs w:val="30"/>
          <w:lang w:val="en-US" w:eastAsia="zh-CN"/>
        </w:rPr>
        <w:t>1</w:t>
      </w:r>
      <w:r>
        <w:rPr>
          <w:rFonts w:hint="eastAsia" w:cs="黑体"/>
          <w:b/>
          <w:bCs/>
          <w:sz w:val="30"/>
          <w:szCs w:val="30"/>
        </w:rPr>
        <w:t xml:space="preserve">  </w:t>
      </w:r>
      <w:r>
        <w:rPr>
          <w:rFonts w:hint="eastAsia" w:cs="黑体"/>
          <w:b/>
          <w:bCs/>
          <w:sz w:val="30"/>
          <w:szCs w:val="30"/>
          <w:lang w:eastAsia="zh-CN"/>
        </w:rPr>
        <w:t>红花铺镇</w:t>
      </w:r>
      <w:r>
        <w:rPr>
          <w:rFonts w:hint="eastAsia" w:cs="黑体"/>
          <w:b/>
          <w:bCs/>
          <w:sz w:val="30"/>
          <w:szCs w:val="30"/>
        </w:rPr>
        <w:t>农村公益性公墓统计表</w:t>
      </w:r>
    </w:p>
    <w:tbl>
      <w:tblPr>
        <w:tblStyle w:val="2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1856"/>
        <w:gridCol w:w="1582"/>
        <w:gridCol w:w="1398"/>
        <w:gridCol w:w="1798"/>
        <w:gridCol w:w="1017"/>
        <w:gridCol w:w="500"/>
      </w:tblGrid>
      <w:tr w14:paraId="0E99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967A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AFB6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省市资助农村公益性公墓</w:t>
            </w:r>
          </w:p>
        </w:tc>
        <w:tc>
          <w:tcPr>
            <w:tcW w:w="8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B970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地 址</w:t>
            </w:r>
          </w:p>
        </w:tc>
        <w:tc>
          <w:tcPr>
            <w:tcW w:w="7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4C77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墓穴数量</w:t>
            </w:r>
          </w:p>
        </w:tc>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F771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已使用数量</w:t>
            </w: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0236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剩余墓穴</w:t>
            </w:r>
          </w:p>
        </w:tc>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161E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备注</w:t>
            </w:r>
          </w:p>
        </w:tc>
      </w:tr>
      <w:tr w14:paraId="2867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03C73">
            <w:pPr>
              <w:jc w:val="center"/>
              <w:rPr>
                <w:rFonts w:hint="eastAsia" w:ascii="宋体" w:hAnsi="宋体" w:eastAsia="宋体" w:cs="宋体"/>
                <w:b w:val="0"/>
                <w:bCs w:val="0"/>
                <w:i w:val="0"/>
                <w:iCs w:val="0"/>
                <w:color w:val="000000"/>
                <w:sz w:val="24"/>
                <w:szCs w:val="24"/>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2A1A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8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9B0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7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748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E6FD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5E0E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EE3C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88F4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8DF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A6BC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永生村公墓</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025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永生村二组（新房坪）</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7AA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180</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E8A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157</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6BA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01CE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91D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51B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45EA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红花铺公墓</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FCC2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红花铺村二组（竹园沟）</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637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705E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21DE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F72B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BDD4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A840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978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草凉村公墓</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34C3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草凉村四组（蒋家沟）</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42FE4">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35</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8846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29</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EBFD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39E52">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875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D027">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EB3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白家村公墓</w:t>
            </w:r>
          </w:p>
        </w:tc>
        <w:tc>
          <w:tcPr>
            <w:tcW w:w="8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642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白家村五组（二里铺）</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4EE9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3C71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526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456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0E4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2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8344C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合计</w:t>
            </w:r>
          </w:p>
        </w:tc>
        <w:tc>
          <w:tcPr>
            <w:tcW w:w="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A7EC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239</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117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192</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BD7BD">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47</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EA0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1862E0D3">
      <w:pPr>
        <w:pStyle w:val="2"/>
        <w:jc w:val="center"/>
      </w:pPr>
    </w:p>
    <w:p w14:paraId="7C1EEFE2"/>
    <w:p w14:paraId="03B35613">
      <w:pPr>
        <w:pStyle w:val="2"/>
      </w:pPr>
    </w:p>
    <w:p w14:paraId="5C8CECA3">
      <w:pPr>
        <w:pStyle w:val="26"/>
      </w:pPr>
    </w:p>
    <w:p w14:paraId="3731EF65">
      <w:pPr>
        <w:pStyle w:val="2"/>
      </w:pPr>
    </w:p>
    <w:p w14:paraId="508FF9D6"/>
    <w:p w14:paraId="553704E6">
      <w:pPr>
        <w:pStyle w:val="2"/>
      </w:pPr>
    </w:p>
    <w:p w14:paraId="6B8F4760">
      <w:pPr>
        <w:pStyle w:val="3"/>
        <w:spacing w:before="204" w:after="81"/>
        <w:ind w:firstLine="320" w:firstLineChars="100"/>
        <w:jc w:val="left"/>
        <w:rPr>
          <w:rFonts w:hint="eastAsia" w:ascii="Times New Roman" w:hAnsi="Times New Roman" w:eastAsia="黑体" w:cs="Times New Roman"/>
          <w:lang w:eastAsia="zh-CN"/>
        </w:rPr>
      </w:pPr>
      <w:bookmarkStart w:id="152" w:name="_Toc8849"/>
      <w:bookmarkStart w:id="153" w:name="_Toc11265"/>
      <w:r>
        <w:rPr>
          <w:rFonts w:ascii="Times New Roman" w:hAnsi="Times New Roman" w:cs="Times New Roman"/>
        </w:rPr>
        <w:t>附录</w:t>
      </w:r>
      <w:r>
        <w:rPr>
          <w:rFonts w:hint="eastAsia" w:ascii="Times New Roman" w:hAnsi="Times New Roman" w:cs="Times New Roman"/>
          <w:lang w:val="en-US" w:eastAsia="zh-CN"/>
        </w:rPr>
        <w:t>2</w:t>
      </w:r>
      <w:r>
        <w:rPr>
          <w:rFonts w:ascii="Times New Roman" w:hAnsi="Times New Roman" w:cs="Times New Roman"/>
        </w:rPr>
        <w:t>：</w:t>
      </w:r>
      <w:r>
        <w:rPr>
          <w:rFonts w:hint="eastAsia" w:ascii="Times New Roman" w:hAnsi="Times New Roman" w:cs="Times New Roman"/>
          <w:lang w:eastAsia="zh-CN"/>
        </w:rPr>
        <w:t>凤县红花铺镇</w:t>
      </w:r>
      <w:r>
        <w:rPr>
          <w:rFonts w:ascii="Times New Roman" w:hAnsi="Times New Roman" w:cs="Times New Roman"/>
        </w:rPr>
        <w:t>国土空间规划附</w:t>
      </w:r>
      <w:r>
        <w:rPr>
          <w:rFonts w:hint="eastAsia" w:ascii="Times New Roman" w:hAnsi="Times New Roman" w:cs="Times New Roman"/>
          <w:lang w:eastAsia="zh-CN"/>
        </w:rPr>
        <w:t>图</w:t>
      </w:r>
      <w:bookmarkEnd w:id="152"/>
      <w:bookmarkEnd w:id="153"/>
    </w:p>
    <w:p w14:paraId="4BBEE775">
      <w:pPr>
        <w:pStyle w:val="2"/>
      </w:pPr>
    </w:p>
    <w:p w14:paraId="33463B02"/>
    <w:p w14:paraId="3EB318F5">
      <w:pPr>
        <w:pStyle w:val="2"/>
      </w:pPr>
    </w:p>
    <w:sectPr>
      <w:headerReference r:id="rId27" w:type="default"/>
      <w:pgSz w:w="11906" w:h="16838"/>
      <w:pgMar w:top="1418" w:right="1531" w:bottom="1701" w:left="1701" w:header="850" w:footer="737"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D254F">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E775D">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C9C4D">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BD1B">
    <w:pPr>
      <w:pStyle w:val="16"/>
      <w:ind w:firstLine="0" w:firstLineChars="0"/>
      <w:jc w:val="center"/>
    </w:pPr>
  </w:p>
  <w:p w14:paraId="1DA24089">
    <w:pPr>
      <w:pStyle w:val="1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3"/>
        <w:szCs w:val="13"/>
      </w:rPr>
      <w:id w:val="1649472932"/>
    </w:sdtPr>
    <w:sdtEndPr>
      <w:rPr>
        <w:rFonts w:ascii="Times New Roman" w:hAnsi="Times New Roman" w:cs="Times New Roman"/>
        <w:sz w:val="24"/>
        <w:szCs w:val="24"/>
      </w:rPr>
    </w:sdtEndPr>
    <w:sdtContent>
      <w:p w14:paraId="5AAFE3F7">
        <w:pPr>
          <w:pStyle w:val="16"/>
          <w:ind w:firstLine="360"/>
          <w:jc w:val="center"/>
          <w:rPr>
            <w:rFonts w:ascii="Times New Roman" w:hAnsi="Times New Roman" w:cs="Times New Roman"/>
            <w:sz w:val="24"/>
            <w:szCs w:val="24"/>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III</w:t>
        </w:r>
        <w:r>
          <w:rPr>
            <w:rFonts w:ascii="Times New Roman" w:hAnsi="Times New Roman" w:cs="Times New Roman"/>
            <w:sz w:val="20"/>
            <w:szCs w:val="20"/>
          </w:rPr>
          <w:fldChar w:fldCharType="end"/>
        </w:r>
      </w:p>
    </w:sdtContent>
  </w:sdt>
  <w:p w14:paraId="0F329135">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5"/>
        <w:szCs w:val="15"/>
      </w:rPr>
      <w:id w:val="147482610"/>
    </w:sdtPr>
    <w:sdtEndPr>
      <w:rPr>
        <w:rFonts w:ascii="Times New Roman" w:hAnsi="Times New Roman" w:cs="Times New Roman"/>
        <w:sz w:val="24"/>
        <w:szCs w:val="24"/>
      </w:rPr>
    </w:sdtEndPr>
    <w:sdtContent>
      <w:p w14:paraId="2FFC2B65">
        <w:pPr>
          <w:pStyle w:val="16"/>
          <w:ind w:firstLine="360"/>
          <w:jc w:val="center"/>
          <w:rPr>
            <w:rFonts w:ascii="Times New Roman" w:hAnsi="Times New Roman" w:cs="Times New Roman"/>
            <w:sz w:val="24"/>
            <w:szCs w:val="24"/>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rPr>
          <w:t>III</w:t>
        </w:r>
        <w:r>
          <w:rPr>
            <w:rFonts w:ascii="Times New Roman" w:hAnsi="Times New Roman" w:cs="Times New Roman"/>
            <w:sz w:val="21"/>
            <w:szCs w:val="21"/>
          </w:rPr>
          <w:fldChar w:fldCharType="end"/>
        </w:r>
      </w:p>
    </w:sdtContent>
  </w:sdt>
  <w:p w14:paraId="4C6E6F85">
    <w:pPr>
      <w:pStyle w:val="16"/>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2F3E">
    <w:pPr>
      <w:pStyle w:val="17"/>
      <w:pBdr>
        <w:bottom w:val="none" w:color="auto" w:sz="0" w:space="1"/>
      </w:pBdr>
      <w:spacing w:line="400" w:lineRule="atLeast"/>
      <w:ind w:firstLine="0" w:firstLineChars="0"/>
      <w:jc w:val="left"/>
      <w:rPr>
        <w:rFonts w:ascii="Times New Roman" w:hAnsi="Times New Roman" w:eastAsia="宋体" w:cs="Times New Roman"/>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99DA">
    <w:pPr>
      <w:pStyle w:val="17"/>
      <w:spacing w:after="120" w:line="400" w:lineRule="atLeast"/>
      <w:ind w:firstLine="0" w:firstLineChars="0"/>
      <w:jc w:val="both"/>
      <w:rPr>
        <w:rFonts w:ascii="宋体" w:hAnsi="宋体" w:eastAsia="宋体"/>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（2021-2035年）</w:t>
    </w:r>
    <w:r>
      <w:rPr>
        <w:rFonts w:hint="eastAsia" w:ascii="Times New Roman" w:hAnsi="Times New Roman" w:eastAsia="宋体" w:cs="Times New Roman"/>
        <w:sz w:val="21"/>
        <w:szCs w:val="21"/>
      </w:rPr>
      <w:t xml:space="preserve">                </w:t>
    </w:r>
    <w:r>
      <w:rPr>
        <w:rFonts w:hint="eastAsia" w:ascii="宋体" w:hAnsi="宋体" w:eastAsia="宋体"/>
        <w:sz w:val="21"/>
        <w:szCs w:val="21"/>
      </w:rPr>
      <w:t>第五章 自然资源保护与利用</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0281E">
    <w:pPr>
      <w:pStyle w:val="17"/>
      <w:spacing w:after="120" w:line="400" w:lineRule="atLeast"/>
      <w:ind w:firstLine="0" w:firstLineChars="0"/>
      <w:jc w:val="both"/>
      <w:rPr>
        <w:rFonts w:ascii="宋体" w:hAnsi="宋体" w:eastAsia="宋体"/>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（2021-2035年）</w:t>
    </w:r>
    <w:r>
      <w:rPr>
        <w:rFonts w:hint="eastAsia" w:ascii="Times New Roman" w:hAnsi="Times New Roman" w:eastAsia="宋体" w:cs="Times New Roman"/>
        <w:sz w:val="21"/>
        <w:szCs w:val="21"/>
      </w:rPr>
      <w:t xml:space="preserve">                </w:t>
    </w:r>
    <w:r>
      <w:rPr>
        <w:rFonts w:hint="eastAsia" w:ascii="宋体" w:hAnsi="宋体" w:eastAsia="宋体"/>
        <w:sz w:val="21"/>
        <w:szCs w:val="21"/>
      </w:rPr>
      <w:t>第</w:t>
    </w:r>
    <w:r>
      <w:rPr>
        <w:rFonts w:hint="eastAsia" w:ascii="宋体" w:hAnsi="宋体" w:eastAsia="宋体"/>
        <w:sz w:val="21"/>
        <w:szCs w:val="21"/>
        <w:lang w:eastAsia="zh-CN"/>
      </w:rPr>
      <w:t>六</w:t>
    </w:r>
    <w:r>
      <w:rPr>
        <w:rFonts w:hint="eastAsia" w:ascii="宋体" w:hAnsi="宋体" w:eastAsia="宋体"/>
        <w:sz w:val="21"/>
        <w:szCs w:val="21"/>
      </w:rPr>
      <w:t>章 历史文化与景观风貌</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98569">
    <w:pPr>
      <w:pStyle w:val="17"/>
      <w:spacing w:line="400" w:lineRule="atLeast"/>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（2021-2035年）            第</w:t>
    </w:r>
    <w:r>
      <w:rPr>
        <w:rFonts w:hint="eastAsia" w:ascii="Times New Roman" w:hAnsi="Times New Roman" w:eastAsia="宋体" w:cs="Times New Roman"/>
        <w:sz w:val="21"/>
        <w:szCs w:val="21"/>
        <w:lang w:val="en-US" w:eastAsia="zh-CN"/>
      </w:rPr>
      <w:t>七</w:t>
    </w:r>
    <w:r>
      <w:rPr>
        <w:rFonts w:hint="eastAsia" w:ascii="Times New Roman" w:hAnsi="Times New Roman" w:eastAsia="宋体" w:cs="Times New Roman"/>
        <w:sz w:val="21"/>
        <w:szCs w:val="21"/>
      </w:rPr>
      <w:t>章 国土综合整治与生态修复</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9888">
    <w:pPr>
      <w:pStyle w:val="17"/>
      <w:spacing w:line="400" w:lineRule="atLeast"/>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（2021-2035年）              第</w:t>
    </w:r>
    <w:r>
      <w:rPr>
        <w:rFonts w:hint="eastAsia" w:ascii="Times New Roman" w:hAnsi="Times New Roman" w:eastAsia="宋体" w:cs="Times New Roman"/>
        <w:sz w:val="21"/>
        <w:szCs w:val="21"/>
        <w:lang w:val="en-US" w:eastAsia="zh-CN"/>
      </w:rPr>
      <w:t>八</w:t>
    </w:r>
    <w:r>
      <w:rPr>
        <w:rFonts w:hint="eastAsia" w:ascii="Times New Roman" w:hAnsi="Times New Roman" w:eastAsia="宋体" w:cs="Times New Roman"/>
        <w:sz w:val="21"/>
        <w:szCs w:val="21"/>
      </w:rPr>
      <w:t>章 国土空间支撑保障体系</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BFE">
    <w:pPr>
      <w:pStyle w:val="17"/>
      <w:spacing w:line="400" w:lineRule="atLeast"/>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 xml:space="preserve">（2021-2035年）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第</w:t>
    </w:r>
    <w:r>
      <w:rPr>
        <w:rFonts w:hint="eastAsia" w:ascii="Times New Roman" w:hAnsi="Times New Roman" w:eastAsia="宋体" w:cs="Times New Roman"/>
        <w:sz w:val="21"/>
        <w:szCs w:val="21"/>
        <w:lang w:val="en-US" w:eastAsia="zh-CN"/>
      </w:rPr>
      <w:t>九</w:t>
    </w:r>
    <w:r>
      <w:rPr>
        <w:rFonts w:ascii="Times New Roman" w:hAnsi="Times New Roman" w:eastAsia="宋体" w:cs="Times New Roman"/>
        <w:sz w:val="21"/>
        <w:szCs w:val="21"/>
      </w:rPr>
      <w:t xml:space="preserve">章  </w:t>
    </w:r>
    <w:r>
      <w:rPr>
        <w:rFonts w:hint="eastAsia" w:ascii="Times New Roman" w:hAnsi="Times New Roman" w:eastAsia="宋体" w:cs="Times New Roman"/>
        <w:sz w:val="21"/>
        <w:szCs w:val="21"/>
      </w:rPr>
      <w:t>镇区规划</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B61F2">
    <w:pPr>
      <w:pStyle w:val="17"/>
      <w:spacing w:line="400" w:lineRule="atLeast"/>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 xml:space="preserve">（2021-2035年）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 xml:space="preserve">       第</w:t>
    </w:r>
    <w:r>
      <w:rPr>
        <w:rFonts w:hint="eastAsia" w:ascii="Times New Roman" w:hAnsi="Times New Roman" w:eastAsia="宋体" w:cs="Times New Roman"/>
        <w:sz w:val="21"/>
        <w:szCs w:val="21"/>
      </w:rPr>
      <w:t>十章 规划实施保障</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D83CD">
    <w:pPr>
      <w:pStyle w:val="17"/>
      <w:spacing w:line="400" w:lineRule="atLeast"/>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 xml:space="preserve">（2021-2035年） </w:t>
    </w:r>
    <w:r>
      <w:rPr>
        <w:rFonts w:hint="eastAsia" w:ascii="Times New Roman" w:hAnsi="Times New Roman" w:eastAsia="宋体" w:cs="Times New Roman"/>
        <w:sz w:val="21"/>
        <w:szCs w:val="21"/>
        <w:lang w:val="en-US" w:eastAsia="zh-CN"/>
      </w:rPr>
      <w:t xml:space="preserve"> </w:t>
    </w:r>
    <w:r>
      <w:rPr>
        <w:rFonts w:ascii="Times New Roman" w:hAnsi="Times New Roman" w:eastAsia="宋体" w:cs="Times New Roman"/>
        <w:sz w:val="21"/>
        <w:szCs w:val="21"/>
      </w:rPr>
      <w:t>第</w:t>
    </w:r>
    <w:r>
      <w:rPr>
        <w:rFonts w:hint="eastAsia" w:ascii="Times New Roman" w:hAnsi="Times New Roman" w:eastAsia="宋体" w:cs="Times New Roman"/>
        <w:sz w:val="21"/>
        <w:szCs w:val="21"/>
      </w:rPr>
      <w:t>十</w:t>
    </w:r>
    <w:r>
      <w:rPr>
        <w:rFonts w:hint="eastAsia" w:ascii="Times New Roman" w:hAnsi="Times New Roman" w:eastAsia="宋体" w:cs="Times New Roman"/>
        <w:sz w:val="21"/>
        <w:szCs w:val="21"/>
        <w:lang w:eastAsia="zh-CN"/>
      </w:rPr>
      <w:t>一</w:t>
    </w:r>
    <w:r>
      <w:rPr>
        <w:rFonts w:hint="eastAsia" w:ascii="Times New Roman" w:hAnsi="Times New Roman" w:eastAsia="宋体" w:cs="Times New Roman"/>
        <w:sz w:val="21"/>
        <w:szCs w:val="21"/>
      </w:rPr>
      <w:t>章 红花铺镇“通则式”规划技术管理规定</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517EE">
    <w:pPr>
      <w:pStyle w:val="17"/>
      <w:spacing w:line="400" w:lineRule="atLeast"/>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 xml:space="preserve">（2021-2035年）                                    </w:t>
    </w:r>
    <w:r>
      <w:rPr>
        <w:rFonts w:hint="eastAsia" w:ascii="Times New Roman" w:hAnsi="Times New Roman" w:eastAsia="宋体" w:cs="Times New Roman"/>
        <w:sz w:val="21"/>
        <w:szCs w:val="21"/>
      </w:rPr>
      <w:t>附录</w:t>
    </w:r>
    <w:r>
      <w:rPr>
        <w:rFonts w:ascii="Times New Roman" w:hAnsi="Times New Roman" w:eastAsia="宋体" w:cs="Times New Roman"/>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8C672">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B93D">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D408">
    <w:pPr>
      <w:pStyle w:val="17"/>
      <w:pBdr>
        <w:bottom w:val="none" w:color="auto" w:sz="0" w:space="1"/>
      </w:pBdr>
      <w:spacing w:line="400" w:lineRule="atLeast"/>
      <w:ind w:firstLine="0" w:firstLineChars="0"/>
      <w:jc w:val="left"/>
      <w:rPr>
        <w:rFonts w:ascii="宋体" w:hAnsi="宋体" w:eastAsia="宋体" w:cs="Times New Roma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E093D">
    <w:pPr>
      <w:pStyle w:val="17"/>
      <w:spacing w:line="400" w:lineRule="atLeast"/>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 xml:space="preserve">（2021-2035年）                                    </w:t>
    </w:r>
    <w:r>
      <w:rPr>
        <w:rFonts w:hint="eastAsia" w:ascii="Times New Roman" w:hAnsi="Times New Roman" w:eastAsia="宋体" w:cs="Times New Roman"/>
        <w:sz w:val="21"/>
        <w:szCs w:val="21"/>
      </w:rPr>
      <w:t>目录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9D5DF">
    <w:pPr>
      <w:pStyle w:val="17"/>
      <w:spacing w:line="400" w:lineRule="atLeast"/>
      <w:ind w:firstLine="0" w:firstLineChars="0"/>
      <w:jc w:val="left"/>
      <w:rPr>
        <w:rFonts w:hint="default" w:ascii="宋体" w:hAnsi="宋体" w:eastAsia="宋体"/>
        <w:sz w:val="21"/>
        <w:szCs w:val="21"/>
        <w:lang w:val="en-US" w:eastAsia="zh-CN"/>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（2021-2035年）</w:t>
    </w:r>
    <w:r>
      <w:rPr>
        <w:rFonts w:hint="eastAsia" w:ascii="Times New Roman" w:hAnsi="Times New Roman" w:eastAsia="宋体" w:cs="Times New Roman"/>
        <w:sz w:val="21"/>
        <w:szCs w:val="21"/>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w:t>
    </w:r>
    <w:r>
      <w:rPr>
        <w:rFonts w:hint="eastAsia" w:ascii="宋体" w:hAnsi="宋体" w:eastAsia="宋体"/>
        <w:sz w:val="21"/>
        <w:szCs w:val="21"/>
      </w:rPr>
      <w:t xml:space="preserve">第一章 </w:t>
    </w:r>
    <w:r>
      <w:rPr>
        <w:rFonts w:hint="eastAsia" w:ascii="宋体" w:hAnsi="宋体" w:eastAsia="宋体"/>
        <w:sz w:val="21"/>
        <w:szCs w:val="21"/>
        <w:lang w:val="en-US" w:eastAsia="zh-CN"/>
      </w:rPr>
      <w:t>规划基础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2E46">
    <w:pPr>
      <w:pStyle w:val="17"/>
      <w:spacing w:line="400" w:lineRule="atLeast"/>
      <w:ind w:firstLine="0" w:firstLineChars="0"/>
      <w:jc w:val="left"/>
      <w:rPr>
        <w:rFonts w:ascii="宋体" w:hAnsi="宋体" w:eastAsia="宋体"/>
        <w:sz w:val="21"/>
        <w:szCs w:val="21"/>
      </w:rPr>
    </w:pPr>
    <w:r>
      <w:rPr>
        <w:rFonts w:hint="eastAsia" w:ascii="Times New Roman" w:hAnsi="Times New Roman" w:eastAsia="宋体" w:cs="Times New Roman"/>
        <w:sz w:val="21"/>
        <w:szCs w:val="21"/>
        <w:lang w:eastAsia="zh-CN"/>
      </w:rPr>
      <w:t>凤县红花铺镇国土空间规划</w:t>
    </w:r>
    <w:r>
      <w:rPr>
        <w:rFonts w:ascii="Times New Roman" w:hAnsi="Times New Roman" w:eastAsia="宋体" w:cs="Times New Roman"/>
        <w:sz w:val="21"/>
        <w:szCs w:val="21"/>
      </w:rPr>
      <w:t>（2021-2035年）</w:t>
    </w:r>
    <w:r>
      <w:rPr>
        <w:rFonts w:hint="eastAsia" w:ascii="Times New Roman" w:hAnsi="Times New Roman" w:eastAsia="宋体" w:cs="Times New Roman"/>
        <w:sz w:val="21"/>
        <w:szCs w:val="21"/>
      </w:rPr>
      <w:t xml:space="preserve">                    </w:t>
    </w:r>
    <w:r>
      <w:rPr>
        <w:rFonts w:hint="eastAsia" w:ascii="宋体" w:hAnsi="宋体" w:eastAsia="宋体"/>
        <w:sz w:val="21"/>
        <w:szCs w:val="21"/>
      </w:rPr>
      <w:t>第二章 规划定位与目标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F9E0">
    <w:pPr>
      <w:pStyle w:val="17"/>
      <w:spacing w:line="400" w:lineRule="atLeast"/>
      <w:ind w:firstLine="0" w:firstLineChars="0"/>
      <w:jc w:val="left"/>
      <w:rPr>
        <w:rFonts w:hint="eastAsia" w:ascii="宋体" w:hAnsi="宋体" w:eastAsia="宋体"/>
        <w:sz w:val="21"/>
        <w:szCs w:val="21"/>
        <w:lang w:eastAsia="zh-CN"/>
      </w:rPr>
    </w:pPr>
    <w:r>
      <w:rPr>
        <w:rFonts w:hint="eastAsia" w:ascii="宋体" w:hAnsi="宋体" w:eastAsia="宋体"/>
        <w:sz w:val="21"/>
        <w:szCs w:val="21"/>
        <w:lang w:eastAsia="zh-CN"/>
      </w:rPr>
      <w:t>凤县红花铺镇国土空间规划</w:t>
    </w:r>
    <w:r>
      <w:rPr>
        <w:rFonts w:ascii="Times New Roman" w:hAnsi="Times New Roman" w:eastAsia="宋体" w:cs="Times New Roman"/>
        <w:sz w:val="21"/>
        <w:szCs w:val="21"/>
      </w:rPr>
      <w:t xml:space="preserve">（2021-2035年）               </w:t>
    </w:r>
    <w:r>
      <w:rPr>
        <w:rFonts w:hint="eastAsia" w:ascii="Times New Roman" w:hAnsi="Times New Roman" w:eastAsia="宋体" w:cs="Times New Roman"/>
        <w:sz w:val="21"/>
        <w:szCs w:val="21"/>
      </w:rPr>
      <w:t xml:space="preserve">     </w:t>
    </w:r>
    <w:r>
      <w:rPr>
        <w:rFonts w:hint="eastAsia" w:ascii="宋体" w:hAnsi="宋体" w:eastAsia="宋体"/>
        <w:sz w:val="21"/>
        <w:szCs w:val="21"/>
      </w:rPr>
      <w:t>第三章 重要控制线</w:t>
    </w:r>
    <w:r>
      <w:rPr>
        <w:rFonts w:hint="eastAsia" w:ascii="宋体" w:hAnsi="宋体" w:eastAsia="宋体"/>
        <w:sz w:val="21"/>
        <w:szCs w:val="21"/>
        <w:lang w:val="en-US" w:eastAsia="zh-CN"/>
      </w:rPr>
      <w:t>落实</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E465B">
    <w:pPr>
      <w:pStyle w:val="17"/>
      <w:spacing w:line="400" w:lineRule="atLeast"/>
      <w:ind w:firstLine="0" w:firstLineChars="0"/>
      <w:jc w:val="left"/>
      <w:rPr>
        <w:rFonts w:ascii="宋体" w:hAnsi="宋体" w:eastAsia="宋体"/>
        <w:sz w:val="21"/>
        <w:szCs w:val="21"/>
      </w:rPr>
    </w:pPr>
    <w:r>
      <w:rPr>
        <w:rFonts w:hint="eastAsia" w:ascii="宋体" w:hAnsi="宋体" w:eastAsia="宋体"/>
        <w:sz w:val="21"/>
        <w:szCs w:val="21"/>
        <w:lang w:eastAsia="zh-CN"/>
      </w:rPr>
      <w:t>凤县红花铺镇国土空间规划</w:t>
    </w:r>
    <w:r>
      <w:rPr>
        <w:rFonts w:ascii="Times New Roman" w:hAnsi="Times New Roman" w:eastAsia="宋体" w:cs="Times New Roman"/>
        <w:sz w:val="21"/>
        <w:szCs w:val="21"/>
      </w:rPr>
      <w:t xml:space="preserve">（2021-2035年）                  </w:t>
    </w:r>
    <w:r>
      <w:rPr>
        <w:rFonts w:hint="eastAsia" w:ascii="宋体" w:hAnsi="宋体" w:eastAsia="宋体"/>
        <w:sz w:val="21"/>
        <w:szCs w:val="21"/>
      </w:rPr>
      <w:t>第四章 国土空间布局优化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42C9E"/>
    <w:multiLevelType w:val="singleLevel"/>
    <w:tmpl w:val="80F42C9E"/>
    <w:lvl w:ilvl="0" w:tentative="0">
      <w:start w:val="1"/>
      <w:numFmt w:val="chineseCounting"/>
      <w:suff w:val="nothing"/>
      <w:lvlText w:val="%1、"/>
      <w:lvlJc w:val="left"/>
      <w:pPr>
        <w:ind w:left="0" w:firstLine="420"/>
      </w:pPr>
      <w:rPr>
        <w:rFonts w:hint="eastAsia"/>
      </w:rPr>
    </w:lvl>
  </w:abstractNum>
  <w:abstractNum w:abstractNumId="1">
    <w:nsid w:val="819CB5AB"/>
    <w:multiLevelType w:val="singleLevel"/>
    <w:tmpl w:val="819CB5AB"/>
    <w:lvl w:ilvl="0" w:tentative="0">
      <w:start w:val="2"/>
      <w:numFmt w:val="chineseCounting"/>
      <w:suff w:val="nothing"/>
      <w:lvlText w:val="%1、"/>
      <w:lvlJc w:val="left"/>
      <w:rPr>
        <w:rFonts w:hint="eastAsia"/>
      </w:rPr>
    </w:lvl>
  </w:abstractNum>
  <w:abstractNum w:abstractNumId="2">
    <w:nsid w:val="8A958326"/>
    <w:multiLevelType w:val="singleLevel"/>
    <w:tmpl w:val="8A958326"/>
    <w:lvl w:ilvl="0" w:tentative="0">
      <w:start w:val="1"/>
      <w:numFmt w:val="chineseCounting"/>
      <w:suff w:val="nothing"/>
      <w:lvlText w:val="%1、"/>
      <w:lvlJc w:val="left"/>
      <w:pPr>
        <w:ind w:left="0" w:firstLine="420"/>
      </w:pPr>
      <w:rPr>
        <w:rFonts w:hint="eastAsia"/>
      </w:rPr>
    </w:lvl>
  </w:abstractNum>
  <w:abstractNum w:abstractNumId="3">
    <w:nsid w:val="AC9F8DF5"/>
    <w:multiLevelType w:val="singleLevel"/>
    <w:tmpl w:val="AC9F8DF5"/>
    <w:lvl w:ilvl="0" w:tentative="0">
      <w:start w:val="1"/>
      <w:numFmt w:val="chineseCounting"/>
      <w:suff w:val="nothing"/>
      <w:lvlText w:val="%1、"/>
      <w:lvlJc w:val="left"/>
      <w:pPr>
        <w:ind w:left="0" w:firstLine="420"/>
      </w:pPr>
      <w:rPr>
        <w:rFonts w:hint="eastAsia"/>
      </w:rPr>
    </w:lvl>
  </w:abstractNum>
  <w:abstractNum w:abstractNumId="4">
    <w:nsid w:val="B61CC1A9"/>
    <w:multiLevelType w:val="singleLevel"/>
    <w:tmpl w:val="B61CC1A9"/>
    <w:lvl w:ilvl="0" w:tentative="0">
      <w:start w:val="3"/>
      <w:numFmt w:val="chineseCounting"/>
      <w:suff w:val="space"/>
      <w:lvlText w:val="第%1节"/>
      <w:lvlJc w:val="left"/>
      <w:rPr>
        <w:rFonts w:hint="eastAsia"/>
      </w:rPr>
    </w:lvl>
  </w:abstractNum>
  <w:abstractNum w:abstractNumId="5">
    <w:nsid w:val="B818628F"/>
    <w:multiLevelType w:val="singleLevel"/>
    <w:tmpl w:val="B818628F"/>
    <w:lvl w:ilvl="0" w:tentative="0">
      <w:start w:val="1"/>
      <w:numFmt w:val="chineseCounting"/>
      <w:suff w:val="nothing"/>
      <w:lvlText w:val="（%1）"/>
      <w:lvlJc w:val="left"/>
      <w:rPr>
        <w:rFonts w:hint="eastAsia"/>
      </w:rPr>
    </w:lvl>
  </w:abstractNum>
  <w:abstractNum w:abstractNumId="6">
    <w:nsid w:val="C18A01B9"/>
    <w:multiLevelType w:val="singleLevel"/>
    <w:tmpl w:val="C18A01B9"/>
    <w:lvl w:ilvl="0" w:tentative="0">
      <w:start w:val="1"/>
      <w:numFmt w:val="chineseCounting"/>
      <w:suff w:val="nothing"/>
      <w:lvlText w:val="%1、"/>
      <w:lvlJc w:val="left"/>
      <w:pPr>
        <w:ind w:left="0" w:firstLine="420"/>
      </w:pPr>
      <w:rPr>
        <w:rFonts w:hint="eastAsia"/>
      </w:rPr>
    </w:lvl>
  </w:abstractNum>
  <w:abstractNum w:abstractNumId="7">
    <w:nsid w:val="C9B0858C"/>
    <w:multiLevelType w:val="singleLevel"/>
    <w:tmpl w:val="C9B0858C"/>
    <w:lvl w:ilvl="0" w:tentative="0">
      <w:start w:val="1"/>
      <w:numFmt w:val="chineseCounting"/>
      <w:suff w:val="nothing"/>
      <w:lvlText w:val="%1、"/>
      <w:lvlJc w:val="left"/>
      <w:pPr>
        <w:ind w:left="0" w:firstLine="420"/>
      </w:pPr>
      <w:rPr>
        <w:rFonts w:hint="eastAsia"/>
      </w:rPr>
    </w:lvl>
  </w:abstractNum>
  <w:abstractNum w:abstractNumId="8">
    <w:nsid w:val="D875B065"/>
    <w:multiLevelType w:val="singleLevel"/>
    <w:tmpl w:val="D875B065"/>
    <w:lvl w:ilvl="0" w:tentative="0">
      <w:start w:val="1"/>
      <w:numFmt w:val="chineseCounting"/>
      <w:suff w:val="nothing"/>
      <w:lvlText w:val="%1、"/>
      <w:lvlJc w:val="left"/>
      <w:pPr>
        <w:ind w:left="0" w:firstLine="420"/>
      </w:pPr>
      <w:rPr>
        <w:rFonts w:hint="eastAsia"/>
      </w:rPr>
    </w:lvl>
  </w:abstractNum>
  <w:abstractNum w:abstractNumId="9">
    <w:nsid w:val="E060145F"/>
    <w:multiLevelType w:val="singleLevel"/>
    <w:tmpl w:val="E060145F"/>
    <w:lvl w:ilvl="0" w:tentative="0">
      <w:start w:val="1"/>
      <w:numFmt w:val="chineseCounting"/>
      <w:suff w:val="nothing"/>
      <w:lvlText w:val="（%1）"/>
      <w:lvlJc w:val="left"/>
      <w:pPr>
        <w:ind w:left="0" w:firstLine="420"/>
      </w:pPr>
      <w:rPr>
        <w:rFonts w:hint="eastAsia"/>
      </w:rPr>
    </w:lvl>
  </w:abstractNum>
  <w:abstractNum w:abstractNumId="10">
    <w:nsid w:val="F79B2950"/>
    <w:multiLevelType w:val="singleLevel"/>
    <w:tmpl w:val="F79B2950"/>
    <w:lvl w:ilvl="0" w:tentative="0">
      <w:start w:val="1"/>
      <w:numFmt w:val="chineseCounting"/>
      <w:suff w:val="nothing"/>
      <w:lvlText w:val="%1、"/>
      <w:lvlJc w:val="left"/>
      <w:pPr>
        <w:ind w:left="0" w:firstLine="420"/>
      </w:pPr>
      <w:rPr>
        <w:rFonts w:hint="eastAsia"/>
      </w:rPr>
    </w:lvl>
  </w:abstractNum>
  <w:abstractNum w:abstractNumId="11">
    <w:nsid w:val="026BE22F"/>
    <w:multiLevelType w:val="singleLevel"/>
    <w:tmpl w:val="026BE22F"/>
    <w:lvl w:ilvl="0" w:tentative="0">
      <w:start w:val="1"/>
      <w:numFmt w:val="chineseCounting"/>
      <w:suff w:val="nothing"/>
      <w:lvlText w:val="（%1）"/>
      <w:lvlJc w:val="left"/>
      <w:pPr>
        <w:ind w:left="0" w:firstLine="420"/>
      </w:pPr>
      <w:rPr>
        <w:rFonts w:hint="eastAsia"/>
      </w:rPr>
    </w:lvl>
  </w:abstractNum>
  <w:abstractNum w:abstractNumId="12">
    <w:nsid w:val="05CE2188"/>
    <w:multiLevelType w:val="singleLevel"/>
    <w:tmpl w:val="05CE2188"/>
    <w:lvl w:ilvl="0" w:tentative="0">
      <w:start w:val="1"/>
      <w:numFmt w:val="chineseCounting"/>
      <w:suff w:val="nothing"/>
      <w:lvlText w:val="%1、"/>
      <w:lvlJc w:val="left"/>
      <w:pPr>
        <w:ind w:left="0" w:firstLine="420"/>
      </w:pPr>
      <w:rPr>
        <w:rFonts w:hint="eastAsia"/>
      </w:rPr>
    </w:lvl>
  </w:abstractNum>
  <w:abstractNum w:abstractNumId="13">
    <w:nsid w:val="0D46BE1A"/>
    <w:multiLevelType w:val="singleLevel"/>
    <w:tmpl w:val="0D46BE1A"/>
    <w:lvl w:ilvl="0" w:tentative="0">
      <w:start w:val="1"/>
      <w:numFmt w:val="chineseCounting"/>
      <w:suff w:val="nothing"/>
      <w:lvlText w:val="%1、"/>
      <w:lvlJc w:val="left"/>
      <w:pPr>
        <w:ind w:left="0" w:firstLine="420"/>
      </w:pPr>
      <w:rPr>
        <w:rFonts w:hint="eastAsia"/>
      </w:rPr>
    </w:lvl>
  </w:abstractNum>
  <w:abstractNum w:abstractNumId="14">
    <w:nsid w:val="0F20B8FA"/>
    <w:multiLevelType w:val="singleLevel"/>
    <w:tmpl w:val="0F20B8FA"/>
    <w:lvl w:ilvl="0" w:tentative="0">
      <w:start w:val="1"/>
      <w:numFmt w:val="chineseCounting"/>
      <w:suff w:val="nothing"/>
      <w:lvlText w:val="%1、"/>
      <w:lvlJc w:val="left"/>
      <w:pPr>
        <w:ind w:left="0" w:firstLine="420"/>
      </w:pPr>
      <w:rPr>
        <w:rFonts w:hint="eastAsia"/>
      </w:rPr>
    </w:lvl>
  </w:abstractNum>
  <w:abstractNum w:abstractNumId="15">
    <w:nsid w:val="0FD6EF7C"/>
    <w:multiLevelType w:val="singleLevel"/>
    <w:tmpl w:val="0FD6EF7C"/>
    <w:lvl w:ilvl="0" w:tentative="0">
      <w:start w:val="1"/>
      <w:numFmt w:val="chineseCounting"/>
      <w:suff w:val="nothing"/>
      <w:lvlText w:val="（%1）"/>
      <w:lvlJc w:val="left"/>
      <w:pPr>
        <w:ind w:left="0" w:firstLine="420"/>
      </w:pPr>
      <w:rPr>
        <w:rFonts w:hint="eastAsia"/>
      </w:rPr>
    </w:lvl>
  </w:abstractNum>
  <w:abstractNum w:abstractNumId="16">
    <w:nsid w:val="2E55E667"/>
    <w:multiLevelType w:val="singleLevel"/>
    <w:tmpl w:val="2E55E667"/>
    <w:lvl w:ilvl="0" w:tentative="0">
      <w:start w:val="1"/>
      <w:numFmt w:val="chineseCounting"/>
      <w:suff w:val="nothing"/>
      <w:lvlText w:val="（%1）"/>
      <w:lvlJc w:val="left"/>
      <w:pPr>
        <w:ind w:left="0" w:firstLine="420"/>
      </w:pPr>
      <w:rPr>
        <w:rFonts w:hint="eastAsia"/>
      </w:rPr>
    </w:lvl>
  </w:abstractNum>
  <w:abstractNum w:abstractNumId="17">
    <w:nsid w:val="434E5728"/>
    <w:multiLevelType w:val="singleLevel"/>
    <w:tmpl w:val="434E5728"/>
    <w:lvl w:ilvl="0" w:tentative="0">
      <w:start w:val="1"/>
      <w:numFmt w:val="chineseCounting"/>
      <w:suff w:val="nothing"/>
      <w:lvlText w:val="%1、"/>
      <w:lvlJc w:val="left"/>
      <w:pPr>
        <w:ind w:left="0" w:firstLine="420"/>
      </w:pPr>
      <w:rPr>
        <w:rFonts w:hint="eastAsia"/>
      </w:rPr>
    </w:lvl>
  </w:abstractNum>
  <w:abstractNum w:abstractNumId="18">
    <w:nsid w:val="437352C1"/>
    <w:multiLevelType w:val="singleLevel"/>
    <w:tmpl w:val="437352C1"/>
    <w:lvl w:ilvl="0" w:tentative="0">
      <w:start w:val="1"/>
      <w:numFmt w:val="chineseCounting"/>
      <w:suff w:val="nothing"/>
      <w:lvlText w:val="%1、"/>
      <w:lvlJc w:val="left"/>
      <w:pPr>
        <w:ind w:left="0" w:firstLine="420"/>
      </w:pPr>
      <w:rPr>
        <w:rFonts w:hint="eastAsia"/>
      </w:rPr>
    </w:lvl>
  </w:abstractNum>
  <w:abstractNum w:abstractNumId="19">
    <w:nsid w:val="4BCEE16B"/>
    <w:multiLevelType w:val="singleLevel"/>
    <w:tmpl w:val="4BCEE16B"/>
    <w:lvl w:ilvl="0" w:tentative="0">
      <w:start w:val="1"/>
      <w:numFmt w:val="chineseCounting"/>
      <w:suff w:val="nothing"/>
      <w:lvlText w:val="%1、"/>
      <w:lvlJc w:val="left"/>
      <w:rPr>
        <w:rFonts w:hint="eastAsia"/>
      </w:rPr>
    </w:lvl>
  </w:abstractNum>
  <w:abstractNum w:abstractNumId="20">
    <w:nsid w:val="50619881"/>
    <w:multiLevelType w:val="singleLevel"/>
    <w:tmpl w:val="50619881"/>
    <w:lvl w:ilvl="0" w:tentative="0">
      <w:start w:val="1"/>
      <w:numFmt w:val="chineseCounting"/>
      <w:suff w:val="nothing"/>
      <w:lvlText w:val="%1、"/>
      <w:lvlJc w:val="left"/>
      <w:pPr>
        <w:ind w:left="0" w:firstLine="420"/>
      </w:pPr>
      <w:rPr>
        <w:rFonts w:hint="eastAsia"/>
      </w:rPr>
    </w:lvl>
  </w:abstractNum>
  <w:abstractNum w:abstractNumId="21">
    <w:nsid w:val="51FB6418"/>
    <w:multiLevelType w:val="multilevel"/>
    <w:tmpl w:val="51FB6418"/>
    <w:lvl w:ilvl="0" w:tentative="0">
      <w:start w:val="1"/>
      <w:numFmt w:val="japaneseCounting"/>
      <w:pStyle w:val="56"/>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22">
    <w:nsid w:val="6B30BB04"/>
    <w:multiLevelType w:val="singleLevel"/>
    <w:tmpl w:val="6B30BB04"/>
    <w:lvl w:ilvl="0" w:tentative="0">
      <w:start w:val="1"/>
      <w:numFmt w:val="chineseCounting"/>
      <w:suff w:val="nothing"/>
      <w:lvlText w:val="%1、"/>
      <w:lvlJc w:val="left"/>
      <w:pPr>
        <w:ind w:left="0" w:firstLine="420"/>
      </w:pPr>
      <w:rPr>
        <w:rFonts w:hint="eastAsia"/>
      </w:rPr>
    </w:lvl>
  </w:abstractNum>
  <w:num w:numId="1">
    <w:abstractNumId w:val="21"/>
  </w:num>
  <w:num w:numId="2">
    <w:abstractNumId w:val="1"/>
  </w:num>
  <w:num w:numId="3">
    <w:abstractNumId w:val="4"/>
  </w:num>
  <w:num w:numId="4">
    <w:abstractNumId w:val="10"/>
  </w:num>
  <w:num w:numId="5">
    <w:abstractNumId w:val="5"/>
  </w:num>
  <w:num w:numId="6">
    <w:abstractNumId w:val="19"/>
  </w:num>
  <w:num w:numId="7">
    <w:abstractNumId w:val="7"/>
  </w:num>
  <w:num w:numId="8">
    <w:abstractNumId w:val="0"/>
  </w:num>
  <w:num w:numId="9">
    <w:abstractNumId w:val="12"/>
  </w:num>
  <w:num w:numId="10">
    <w:abstractNumId w:val="14"/>
  </w:num>
  <w:num w:numId="11">
    <w:abstractNumId w:val="16"/>
    <w:lvlOverride w:ilvl="0">
      <w:startOverride w:val="1"/>
    </w:lvlOverride>
  </w:num>
  <w:num w:numId="12">
    <w:abstractNumId w:val="3"/>
  </w:num>
  <w:num w:numId="13">
    <w:abstractNumId w:val="20"/>
  </w:num>
  <w:num w:numId="14">
    <w:abstractNumId w:val="15"/>
  </w:num>
  <w:num w:numId="15">
    <w:abstractNumId w:val="17"/>
  </w:num>
  <w:num w:numId="16">
    <w:abstractNumId w:val="2"/>
  </w:num>
  <w:num w:numId="17">
    <w:abstractNumId w:val="6"/>
  </w:num>
  <w:num w:numId="18">
    <w:abstractNumId w:val="13"/>
  </w:num>
  <w:num w:numId="19">
    <w:abstractNumId w:val="8"/>
  </w:num>
  <w:num w:numId="20">
    <w:abstractNumId w:val="18"/>
  </w:num>
  <w:num w:numId="21">
    <w:abstractNumId w:val="11"/>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TEwMjdiY2EwMzAwZjMwZDliNjhmYjc5Mjk3ODMifQ=="/>
  </w:docVars>
  <w:rsids>
    <w:rsidRoot w:val="00117311"/>
    <w:rsid w:val="00000753"/>
    <w:rsid w:val="00001687"/>
    <w:rsid w:val="00002BE7"/>
    <w:rsid w:val="00002ECE"/>
    <w:rsid w:val="0000332F"/>
    <w:rsid w:val="00003B76"/>
    <w:rsid w:val="0000472E"/>
    <w:rsid w:val="000048AD"/>
    <w:rsid w:val="000050F7"/>
    <w:rsid w:val="000057A2"/>
    <w:rsid w:val="0000639B"/>
    <w:rsid w:val="000068F1"/>
    <w:rsid w:val="00007D7B"/>
    <w:rsid w:val="000107B0"/>
    <w:rsid w:val="00010838"/>
    <w:rsid w:val="00010B80"/>
    <w:rsid w:val="00010D91"/>
    <w:rsid w:val="000112CB"/>
    <w:rsid w:val="000118F6"/>
    <w:rsid w:val="00012A39"/>
    <w:rsid w:val="000132CA"/>
    <w:rsid w:val="000135B9"/>
    <w:rsid w:val="0001361F"/>
    <w:rsid w:val="0001434B"/>
    <w:rsid w:val="000148CB"/>
    <w:rsid w:val="00014D08"/>
    <w:rsid w:val="0001612E"/>
    <w:rsid w:val="00016EEF"/>
    <w:rsid w:val="000177C5"/>
    <w:rsid w:val="00017C8D"/>
    <w:rsid w:val="00020389"/>
    <w:rsid w:val="000211FB"/>
    <w:rsid w:val="0002120C"/>
    <w:rsid w:val="00021743"/>
    <w:rsid w:val="000220DE"/>
    <w:rsid w:val="00022316"/>
    <w:rsid w:val="0002307F"/>
    <w:rsid w:val="00024438"/>
    <w:rsid w:val="00024611"/>
    <w:rsid w:val="00024761"/>
    <w:rsid w:val="0002480E"/>
    <w:rsid w:val="000254FD"/>
    <w:rsid w:val="000257C0"/>
    <w:rsid w:val="00025E97"/>
    <w:rsid w:val="0002635A"/>
    <w:rsid w:val="0002651E"/>
    <w:rsid w:val="000268C9"/>
    <w:rsid w:val="0002706C"/>
    <w:rsid w:val="000272F2"/>
    <w:rsid w:val="00027B91"/>
    <w:rsid w:val="000302A9"/>
    <w:rsid w:val="00031943"/>
    <w:rsid w:val="00032529"/>
    <w:rsid w:val="0003274E"/>
    <w:rsid w:val="00032CFD"/>
    <w:rsid w:val="00033A42"/>
    <w:rsid w:val="00033EE1"/>
    <w:rsid w:val="0003474A"/>
    <w:rsid w:val="00034ED1"/>
    <w:rsid w:val="0003639D"/>
    <w:rsid w:val="00037831"/>
    <w:rsid w:val="00037D1D"/>
    <w:rsid w:val="00041AB7"/>
    <w:rsid w:val="00045834"/>
    <w:rsid w:val="000474C4"/>
    <w:rsid w:val="00047FB3"/>
    <w:rsid w:val="00051075"/>
    <w:rsid w:val="00051328"/>
    <w:rsid w:val="0005132C"/>
    <w:rsid w:val="00051495"/>
    <w:rsid w:val="00051650"/>
    <w:rsid w:val="00051795"/>
    <w:rsid w:val="00051B26"/>
    <w:rsid w:val="00052338"/>
    <w:rsid w:val="000524F7"/>
    <w:rsid w:val="00052DAF"/>
    <w:rsid w:val="00054108"/>
    <w:rsid w:val="00055AA7"/>
    <w:rsid w:val="000563DC"/>
    <w:rsid w:val="000572C6"/>
    <w:rsid w:val="000577A4"/>
    <w:rsid w:val="00057CBA"/>
    <w:rsid w:val="00060054"/>
    <w:rsid w:val="000604C4"/>
    <w:rsid w:val="00060AD4"/>
    <w:rsid w:val="00061C24"/>
    <w:rsid w:val="00061D82"/>
    <w:rsid w:val="00063307"/>
    <w:rsid w:val="0006451E"/>
    <w:rsid w:val="00065148"/>
    <w:rsid w:val="00065D62"/>
    <w:rsid w:val="000662D4"/>
    <w:rsid w:val="00066887"/>
    <w:rsid w:val="00066F14"/>
    <w:rsid w:val="00067352"/>
    <w:rsid w:val="00067E25"/>
    <w:rsid w:val="00070CA7"/>
    <w:rsid w:val="00070D45"/>
    <w:rsid w:val="00070D5D"/>
    <w:rsid w:val="000735E3"/>
    <w:rsid w:val="00073D94"/>
    <w:rsid w:val="0007466B"/>
    <w:rsid w:val="00074F4B"/>
    <w:rsid w:val="0007630A"/>
    <w:rsid w:val="00076948"/>
    <w:rsid w:val="00076AE8"/>
    <w:rsid w:val="00080D48"/>
    <w:rsid w:val="00082194"/>
    <w:rsid w:val="000837D2"/>
    <w:rsid w:val="00083C1D"/>
    <w:rsid w:val="00084327"/>
    <w:rsid w:val="00084513"/>
    <w:rsid w:val="00084759"/>
    <w:rsid w:val="0008490B"/>
    <w:rsid w:val="00085C59"/>
    <w:rsid w:val="0008639E"/>
    <w:rsid w:val="000868AA"/>
    <w:rsid w:val="00086AF0"/>
    <w:rsid w:val="0008711D"/>
    <w:rsid w:val="000873EF"/>
    <w:rsid w:val="00090638"/>
    <w:rsid w:val="000908C5"/>
    <w:rsid w:val="00091135"/>
    <w:rsid w:val="00091D1F"/>
    <w:rsid w:val="00092887"/>
    <w:rsid w:val="000953D6"/>
    <w:rsid w:val="00095401"/>
    <w:rsid w:val="00095604"/>
    <w:rsid w:val="0009603E"/>
    <w:rsid w:val="000960C7"/>
    <w:rsid w:val="00096EA0"/>
    <w:rsid w:val="00097B69"/>
    <w:rsid w:val="00097D19"/>
    <w:rsid w:val="00097D86"/>
    <w:rsid w:val="000A1B71"/>
    <w:rsid w:val="000A294E"/>
    <w:rsid w:val="000A2D0B"/>
    <w:rsid w:val="000A3419"/>
    <w:rsid w:val="000A48D7"/>
    <w:rsid w:val="000A4EAF"/>
    <w:rsid w:val="000A66D5"/>
    <w:rsid w:val="000A6880"/>
    <w:rsid w:val="000A6BC8"/>
    <w:rsid w:val="000A75BB"/>
    <w:rsid w:val="000B1917"/>
    <w:rsid w:val="000B1ABA"/>
    <w:rsid w:val="000B2111"/>
    <w:rsid w:val="000B286E"/>
    <w:rsid w:val="000B3141"/>
    <w:rsid w:val="000B3934"/>
    <w:rsid w:val="000B4787"/>
    <w:rsid w:val="000B53E8"/>
    <w:rsid w:val="000B5AA0"/>
    <w:rsid w:val="000B5B60"/>
    <w:rsid w:val="000C027D"/>
    <w:rsid w:val="000C1C42"/>
    <w:rsid w:val="000C1D4B"/>
    <w:rsid w:val="000C2836"/>
    <w:rsid w:val="000C2BE8"/>
    <w:rsid w:val="000C3B9C"/>
    <w:rsid w:val="000C3EC8"/>
    <w:rsid w:val="000C45B6"/>
    <w:rsid w:val="000C54BD"/>
    <w:rsid w:val="000C5978"/>
    <w:rsid w:val="000C6796"/>
    <w:rsid w:val="000C6948"/>
    <w:rsid w:val="000D0886"/>
    <w:rsid w:val="000D1729"/>
    <w:rsid w:val="000D20FF"/>
    <w:rsid w:val="000D2D7F"/>
    <w:rsid w:val="000D423E"/>
    <w:rsid w:val="000D4F45"/>
    <w:rsid w:val="000D4F67"/>
    <w:rsid w:val="000D6884"/>
    <w:rsid w:val="000D6C9A"/>
    <w:rsid w:val="000E10FB"/>
    <w:rsid w:val="000E384A"/>
    <w:rsid w:val="000E3E7F"/>
    <w:rsid w:val="000E4421"/>
    <w:rsid w:val="000E4E78"/>
    <w:rsid w:val="000E50AE"/>
    <w:rsid w:val="000E6A6B"/>
    <w:rsid w:val="000E7757"/>
    <w:rsid w:val="000F00C5"/>
    <w:rsid w:val="000F1A78"/>
    <w:rsid w:val="000F3A81"/>
    <w:rsid w:val="000F4678"/>
    <w:rsid w:val="000F62F3"/>
    <w:rsid w:val="000F6B76"/>
    <w:rsid w:val="000F6CC0"/>
    <w:rsid w:val="000F6DED"/>
    <w:rsid w:val="000F77AA"/>
    <w:rsid w:val="00101E01"/>
    <w:rsid w:val="00102595"/>
    <w:rsid w:val="00102E88"/>
    <w:rsid w:val="00102F6D"/>
    <w:rsid w:val="00103120"/>
    <w:rsid w:val="00103206"/>
    <w:rsid w:val="001032D5"/>
    <w:rsid w:val="00103B5F"/>
    <w:rsid w:val="001045FB"/>
    <w:rsid w:val="0010651B"/>
    <w:rsid w:val="001068B4"/>
    <w:rsid w:val="00106B5C"/>
    <w:rsid w:val="00106CB1"/>
    <w:rsid w:val="001079AA"/>
    <w:rsid w:val="00110F16"/>
    <w:rsid w:val="0011321F"/>
    <w:rsid w:val="0011579B"/>
    <w:rsid w:val="00116D69"/>
    <w:rsid w:val="00117311"/>
    <w:rsid w:val="00117C93"/>
    <w:rsid w:val="00120B3E"/>
    <w:rsid w:val="00120D8F"/>
    <w:rsid w:val="00120E36"/>
    <w:rsid w:val="001210C4"/>
    <w:rsid w:val="00123111"/>
    <w:rsid w:val="00123245"/>
    <w:rsid w:val="00123D7A"/>
    <w:rsid w:val="00123DAC"/>
    <w:rsid w:val="00125849"/>
    <w:rsid w:val="0012603E"/>
    <w:rsid w:val="001277B1"/>
    <w:rsid w:val="00130A1A"/>
    <w:rsid w:val="00130D5D"/>
    <w:rsid w:val="00131084"/>
    <w:rsid w:val="001317A1"/>
    <w:rsid w:val="0013260F"/>
    <w:rsid w:val="001335B8"/>
    <w:rsid w:val="00133BFC"/>
    <w:rsid w:val="00134FAA"/>
    <w:rsid w:val="00135B3C"/>
    <w:rsid w:val="00136327"/>
    <w:rsid w:val="00136B37"/>
    <w:rsid w:val="001371B3"/>
    <w:rsid w:val="00137439"/>
    <w:rsid w:val="00141D1B"/>
    <w:rsid w:val="00143693"/>
    <w:rsid w:val="00143F2B"/>
    <w:rsid w:val="0014400D"/>
    <w:rsid w:val="00144CD6"/>
    <w:rsid w:val="00144D9A"/>
    <w:rsid w:val="00144F75"/>
    <w:rsid w:val="00145919"/>
    <w:rsid w:val="00145958"/>
    <w:rsid w:val="00145B14"/>
    <w:rsid w:val="00145C40"/>
    <w:rsid w:val="00146AC6"/>
    <w:rsid w:val="00146B92"/>
    <w:rsid w:val="00150B1B"/>
    <w:rsid w:val="00151540"/>
    <w:rsid w:val="00151FFF"/>
    <w:rsid w:val="001527A9"/>
    <w:rsid w:val="00153617"/>
    <w:rsid w:val="00154D0D"/>
    <w:rsid w:val="001562CC"/>
    <w:rsid w:val="001565CD"/>
    <w:rsid w:val="00156B87"/>
    <w:rsid w:val="001579BE"/>
    <w:rsid w:val="00161203"/>
    <w:rsid w:val="001618C5"/>
    <w:rsid w:val="00162BA5"/>
    <w:rsid w:val="00164DD4"/>
    <w:rsid w:val="00165693"/>
    <w:rsid w:val="00166353"/>
    <w:rsid w:val="001671F4"/>
    <w:rsid w:val="00167C6A"/>
    <w:rsid w:val="00171CD5"/>
    <w:rsid w:val="00171F4D"/>
    <w:rsid w:val="00172069"/>
    <w:rsid w:val="00172600"/>
    <w:rsid w:val="00172E76"/>
    <w:rsid w:val="001738ED"/>
    <w:rsid w:val="00174667"/>
    <w:rsid w:val="0017589F"/>
    <w:rsid w:val="0017611A"/>
    <w:rsid w:val="00176B4A"/>
    <w:rsid w:val="00176CD3"/>
    <w:rsid w:val="001805D0"/>
    <w:rsid w:val="0018085F"/>
    <w:rsid w:val="00180C3A"/>
    <w:rsid w:val="00181F31"/>
    <w:rsid w:val="001825CF"/>
    <w:rsid w:val="00182731"/>
    <w:rsid w:val="0018296E"/>
    <w:rsid w:val="00182FCD"/>
    <w:rsid w:val="00183F1B"/>
    <w:rsid w:val="0018435A"/>
    <w:rsid w:val="00185406"/>
    <w:rsid w:val="00185D47"/>
    <w:rsid w:val="00186298"/>
    <w:rsid w:val="00186465"/>
    <w:rsid w:val="00186E7F"/>
    <w:rsid w:val="00190008"/>
    <w:rsid w:val="00190C18"/>
    <w:rsid w:val="00191CE8"/>
    <w:rsid w:val="00194E60"/>
    <w:rsid w:val="001954DC"/>
    <w:rsid w:val="001958D7"/>
    <w:rsid w:val="00197FE7"/>
    <w:rsid w:val="001A010E"/>
    <w:rsid w:val="001A0675"/>
    <w:rsid w:val="001A1116"/>
    <w:rsid w:val="001A1A04"/>
    <w:rsid w:val="001A1B57"/>
    <w:rsid w:val="001A1EC9"/>
    <w:rsid w:val="001A2A22"/>
    <w:rsid w:val="001A2BD5"/>
    <w:rsid w:val="001A2D67"/>
    <w:rsid w:val="001A3487"/>
    <w:rsid w:val="001A3802"/>
    <w:rsid w:val="001A3B51"/>
    <w:rsid w:val="001A3F5B"/>
    <w:rsid w:val="001A46B0"/>
    <w:rsid w:val="001A6009"/>
    <w:rsid w:val="001A6581"/>
    <w:rsid w:val="001A7563"/>
    <w:rsid w:val="001B0255"/>
    <w:rsid w:val="001B0776"/>
    <w:rsid w:val="001B0EEC"/>
    <w:rsid w:val="001B1427"/>
    <w:rsid w:val="001B2DA2"/>
    <w:rsid w:val="001B2F93"/>
    <w:rsid w:val="001B31A8"/>
    <w:rsid w:val="001B3C8B"/>
    <w:rsid w:val="001B4693"/>
    <w:rsid w:val="001B49E6"/>
    <w:rsid w:val="001B4A1E"/>
    <w:rsid w:val="001B4CF4"/>
    <w:rsid w:val="001B53E5"/>
    <w:rsid w:val="001B5F89"/>
    <w:rsid w:val="001B6A81"/>
    <w:rsid w:val="001B6B7F"/>
    <w:rsid w:val="001B737A"/>
    <w:rsid w:val="001B7652"/>
    <w:rsid w:val="001B7B4E"/>
    <w:rsid w:val="001C0529"/>
    <w:rsid w:val="001C5D4D"/>
    <w:rsid w:val="001C5D59"/>
    <w:rsid w:val="001C6B80"/>
    <w:rsid w:val="001C6BC1"/>
    <w:rsid w:val="001C7D30"/>
    <w:rsid w:val="001D0E48"/>
    <w:rsid w:val="001D1608"/>
    <w:rsid w:val="001D1B5D"/>
    <w:rsid w:val="001D1F2E"/>
    <w:rsid w:val="001D2F6F"/>
    <w:rsid w:val="001D4A04"/>
    <w:rsid w:val="001D5012"/>
    <w:rsid w:val="001D5EF6"/>
    <w:rsid w:val="001D67B0"/>
    <w:rsid w:val="001D7444"/>
    <w:rsid w:val="001D7B50"/>
    <w:rsid w:val="001E0D67"/>
    <w:rsid w:val="001E0DB5"/>
    <w:rsid w:val="001E118A"/>
    <w:rsid w:val="001E2861"/>
    <w:rsid w:val="001E28B1"/>
    <w:rsid w:val="001E28BF"/>
    <w:rsid w:val="001E31F4"/>
    <w:rsid w:val="001E4F04"/>
    <w:rsid w:val="001E54C2"/>
    <w:rsid w:val="001E5BD3"/>
    <w:rsid w:val="001E6E85"/>
    <w:rsid w:val="001E7B1C"/>
    <w:rsid w:val="001F05A3"/>
    <w:rsid w:val="001F0CB3"/>
    <w:rsid w:val="001F1491"/>
    <w:rsid w:val="001F1B4A"/>
    <w:rsid w:val="001F1C3A"/>
    <w:rsid w:val="001F22E3"/>
    <w:rsid w:val="001F257F"/>
    <w:rsid w:val="001F343B"/>
    <w:rsid w:val="001F3B57"/>
    <w:rsid w:val="001F4A7D"/>
    <w:rsid w:val="001F6558"/>
    <w:rsid w:val="002002BD"/>
    <w:rsid w:val="00200432"/>
    <w:rsid w:val="0020047E"/>
    <w:rsid w:val="00200492"/>
    <w:rsid w:val="00201461"/>
    <w:rsid w:val="00202907"/>
    <w:rsid w:val="00204B5E"/>
    <w:rsid w:val="00204BA3"/>
    <w:rsid w:val="00204D84"/>
    <w:rsid w:val="0020615E"/>
    <w:rsid w:val="00206447"/>
    <w:rsid w:val="00206B45"/>
    <w:rsid w:val="002070FA"/>
    <w:rsid w:val="00207366"/>
    <w:rsid w:val="00207860"/>
    <w:rsid w:val="00207FE7"/>
    <w:rsid w:val="00210356"/>
    <w:rsid w:val="00210EF8"/>
    <w:rsid w:val="00211397"/>
    <w:rsid w:val="00211E1C"/>
    <w:rsid w:val="00211F26"/>
    <w:rsid w:val="00212250"/>
    <w:rsid w:val="00213473"/>
    <w:rsid w:val="0021595C"/>
    <w:rsid w:val="00216274"/>
    <w:rsid w:val="002165D5"/>
    <w:rsid w:val="00216B92"/>
    <w:rsid w:val="00221476"/>
    <w:rsid w:val="00221478"/>
    <w:rsid w:val="0022174C"/>
    <w:rsid w:val="00222981"/>
    <w:rsid w:val="002233F6"/>
    <w:rsid w:val="00226727"/>
    <w:rsid w:val="00227CEE"/>
    <w:rsid w:val="00227FF7"/>
    <w:rsid w:val="002303BF"/>
    <w:rsid w:val="0023343C"/>
    <w:rsid w:val="00233B92"/>
    <w:rsid w:val="002344E7"/>
    <w:rsid w:val="00234E71"/>
    <w:rsid w:val="002366F8"/>
    <w:rsid w:val="00236921"/>
    <w:rsid w:val="00236D14"/>
    <w:rsid w:val="00237360"/>
    <w:rsid w:val="00237838"/>
    <w:rsid w:val="00237D79"/>
    <w:rsid w:val="002405AC"/>
    <w:rsid w:val="002415C2"/>
    <w:rsid w:val="00241B19"/>
    <w:rsid w:val="00242175"/>
    <w:rsid w:val="0024282F"/>
    <w:rsid w:val="002433F0"/>
    <w:rsid w:val="002437F6"/>
    <w:rsid w:val="00243B4A"/>
    <w:rsid w:val="00244439"/>
    <w:rsid w:val="00244590"/>
    <w:rsid w:val="00244954"/>
    <w:rsid w:val="002456C0"/>
    <w:rsid w:val="0024578E"/>
    <w:rsid w:val="00246205"/>
    <w:rsid w:val="0024659B"/>
    <w:rsid w:val="00247994"/>
    <w:rsid w:val="0025061A"/>
    <w:rsid w:val="0025066C"/>
    <w:rsid w:val="00251FD8"/>
    <w:rsid w:val="00252548"/>
    <w:rsid w:val="00253016"/>
    <w:rsid w:val="002532D3"/>
    <w:rsid w:val="002534A8"/>
    <w:rsid w:val="002535A3"/>
    <w:rsid w:val="00255761"/>
    <w:rsid w:val="002557B1"/>
    <w:rsid w:val="002563B4"/>
    <w:rsid w:val="0026152B"/>
    <w:rsid w:val="002615AB"/>
    <w:rsid w:val="00261D98"/>
    <w:rsid w:val="00261F87"/>
    <w:rsid w:val="00262221"/>
    <w:rsid w:val="00262D81"/>
    <w:rsid w:val="00263034"/>
    <w:rsid w:val="00264CD6"/>
    <w:rsid w:val="002657E8"/>
    <w:rsid w:val="00265C36"/>
    <w:rsid w:val="002664FE"/>
    <w:rsid w:val="002669A1"/>
    <w:rsid w:val="00266E54"/>
    <w:rsid w:val="00267C7B"/>
    <w:rsid w:val="002708AD"/>
    <w:rsid w:val="00271077"/>
    <w:rsid w:val="0027187E"/>
    <w:rsid w:val="00271DB5"/>
    <w:rsid w:val="0027225C"/>
    <w:rsid w:val="002742F8"/>
    <w:rsid w:val="00274B90"/>
    <w:rsid w:val="002750F8"/>
    <w:rsid w:val="00276D88"/>
    <w:rsid w:val="00276DD6"/>
    <w:rsid w:val="00277DBF"/>
    <w:rsid w:val="00281BE8"/>
    <w:rsid w:val="00282571"/>
    <w:rsid w:val="0028274F"/>
    <w:rsid w:val="0028288F"/>
    <w:rsid w:val="00282ADC"/>
    <w:rsid w:val="00283358"/>
    <w:rsid w:val="00283B88"/>
    <w:rsid w:val="00283D55"/>
    <w:rsid w:val="00283DFF"/>
    <w:rsid w:val="002851EE"/>
    <w:rsid w:val="00286027"/>
    <w:rsid w:val="002863A9"/>
    <w:rsid w:val="00286E8C"/>
    <w:rsid w:val="002903A5"/>
    <w:rsid w:val="00291BE5"/>
    <w:rsid w:val="002922A7"/>
    <w:rsid w:val="00293BFF"/>
    <w:rsid w:val="00293C8C"/>
    <w:rsid w:val="00294057"/>
    <w:rsid w:val="00294573"/>
    <w:rsid w:val="00295272"/>
    <w:rsid w:val="002962C7"/>
    <w:rsid w:val="00297E57"/>
    <w:rsid w:val="00297EBF"/>
    <w:rsid w:val="002A0587"/>
    <w:rsid w:val="002A0681"/>
    <w:rsid w:val="002A078D"/>
    <w:rsid w:val="002A087B"/>
    <w:rsid w:val="002A0C36"/>
    <w:rsid w:val="002A32AD"/>
    <w:rsid w:val="002A408C"/>
    <w:rsid w:val="002A43F2"/>
    <w:rsid w:val="002A4E83"/>
    <w:rsid w:val="002A502C"/>
    <w:rsid w:val="002A59D0"/>
    <w:rsid w:val="002A5BBE"/>
    <w:rsid w:val="002A660C"/>
    <w:rsid w:val="002B1F5D"/>
    <w:rsid w:val="002B2382"/>
    <w:rsid w:val="002B23B9"/>
    <w:rsid w:val="002B2D3D"/>
    <w:rsid w:val="002B426E"/>
    <w:rsid w:val="002B43C1"/>
    <w:rsid w:val="002B4FF2"/>
    <w:rsid w:val="002B5E9F"/>
    <w:rsid w:val="002B66F8"/>
    <w:rsid w:val="002B6873"/>
    <w:rsid w:val="002B6B07"/>
    <w:rsid w:val="002B7201"/>
    <w:rsid w:val="002C05D4"/>
    <w:rsid w:val="002C2D24"/>
    <w:rsid w:val="002C3388"/>
    <w:rsid w:val="002C42A8"/>
    <w:rsid w:val="002C4627"/>
    <w:rsid w:val="002C51A6"/>
    <w:rsid w:val="002C57A6"/>
    <w:rsid w:val="002C58D3"/>
    <w:rsid w:val="002C6B16"/>
    <w:rsid w:val="002C6E43"/>
    <w:rsid w:val="002C7B4F"/>
    <w:rsid w:val="002D0735"/>
    <w:rsid w:val="002D0A3D"/>
    <w:rsid w:val="002D1087"/>
    <w:rsid w:val="002D1276"/>
    <w:rsid w:val="002D2313"/>
    <w:rsid w:val="002D242F"/>
    <w:rsid w:val="002D3B59"/>
    <w:rsid w:val="002D46FB"/>
    <w:rsid w:val="002D5669"/>
    <w:rsid w:val="002D62C5"/>
    <w:rsid w:val="002D65F9"/>
    <w:rsid w:val="002D69DD"/>
    <w:rsid w:val="002E0426"/>
    <w:rsid w:val="002E0D4D"/>
    <w:rsid w:val="002E165A"/>
    <w:rsid w:val="002E16E1"/>
    <w:rsid w:val="002E1808"/>
    <w:rsid w:val="002E1E2D"/>
    <w:rsid w:val="002E2A83"/>
    <w:rsid w:val="002E364A"/>
    <w:rsid w:val="002E366E"/>
    <w:rsid w:val="002E3A81"/>
    <w:rsid w:val="002E4338"/>
    <w:rsid w:val="002E4A76"/>
    <w:rsid w:val="002E5B93"/>
    <w:rsid w:val="002E5C8F"/>
    <w:rsid w:val="002E62EB"/>
    <w:rsid w:val="002E6462"/>
    <w:rsid w:val="002E6C19"/>
    <w:rsid w:val="002E7CC7"/>
    <w:rsid w:val="002F1CA7"/>
    <w:rsid w:val="002F1D93"/>
    <w:rsid w:val="002F2897"/>
    <w:rsid w:val="002F2D8D"/>
    <w:rsid w:val="002F323E"/>
    <w:rsid w:val="002F3E48"/>
    <w:rsid w:val="002F4247"/>
    <w:rsid w:val="002F54F8"/>
    <w:rsid w:val="002F5535"/>
    <w:rsid w:val="002F7846"/>
    <w:rsid w:val="002F7D2F"/>
    <w:rsid w:val="002F7FEF"/>
    <w:rsid w:val="003000A4"/>
    <w:rsid w:val="0030033B"/>
    <w:rsid w:val="00301738"/>
    <w:rsid w:val="00303974"/>
    <w:rsid w:val="00303C54"/>
    <w:rsid w:val="003048E7"/>
    <w:rsid w:val="003050F1"/>
    <w:rsid w:val="00306816"/>
    <w:rsid w:val="00307321"/>
    <w:rsid w:val="00307C67"/>
    <w:rsid w:val="00310DB4"/>
    <w:rsid w:val="00311073"/>
    <w:rsid w:val="00311324"/>
    <w:rsid w:val="00311F01"/>
    <w:rsid w:val="003123FF"/>
    <w:rsid w:val="003126E8"/>
    <w:rsid w:val="00313BB8"/>
    <w:rsid w:val="003154F5"/>
    <w:rsid w:val="0031554F"/>
    <w:rsid w:val="00315C99"/>
    <w:rsid w:val="00315EA8"/>
    <w:rsid w:val="0031671F"/>
    <w:rsid w:val="00316DF2"/>
    <w:rsid w:val="00317018"/>
    <w:rsid w:val="00317CE7"/>
    <w:rsid w:val="00317E4D"/>
    <w:rsid w:val="0032004D"/>
    <w:rsid w:val="003208AB"/>
    <w:rsid w:val="0032126D"/>
    <w:rsid w:val="0032133E"/>
    <w:rsid w:val="003216ED"/>
    <w:rsid w:val="00321761"/>
    <w:rsid w:val="00321C51"/>
    <w:rsid w:val="00321F3B"/>
    <w:rsid w:val="0032222C"/>
    <w:rsid w:val="00322AAC"/>
    <w:rsid w:val="00322C97"/>
    <w:rsid w:val="00323490"/>
    <w:rsid w:val="00323ABB"/>
    <w:rsid w:val="00325822"/>
    <w:rsid w:val="00325C6E"/>
    <w:rsid w:val="0032629C"/>
    <w:rsid w:val="00327669"/>
    <w:rsid w:val="003302EF"/>
    <w:rsid w:val="00330FEC"/>
    <w:rsid w:val="0033131D"/>
    <w:rsid w:val="003317BD"/>
    <w:rsid w:val="00332492"/>
    <w:rsid w:val="0033342E"/>
    <w:rsid w:val="00333671"/>
    <w:rsid w:val="00334840"/>
    <w:rsid w:val="00334B4A"/>
    <w:rsid w:val="00335F97"/>
    <w:rsid w:val="00336195"/>
    <w:rsid w:val="00337536"/>
    <w:rsid w:val="00337AD4"/>
    <w:rsid w:val="003401F6"/>
    <w:rsid w:val="00341074"/>
    <w:rsid w:val="00341350"/>
    <w:rsid w:val="0034147D"/>
    <w:rsid w:val="003420BA"/>
    <w:rsid w:val="00342F90"/>
    <w:rsid w:val="003436B6"/>
    <w:rsid w:val="00344D67"/>
    <w:rsid w:val="00346225"/>
    <w:rsid w:val="00346A3C"/>
    <w:rsid w:val="00347591"/>
    <w:rsid w:val="00347D9A"/>
    <w:rsid w:val="0035055D"/>
    <w:rsid w:val="003512E7"/>
    <w:rsid w:val="0035282D"/>
    <w:rsid w:val="003533F5"/>
    <w:rsid w:val="00354680"/>
    <w:rsid w:val="00354A52"/>
    <w:rsid w:val="003553B9"/>
    <w:rsid w:val="00356591"/>
    <w:rsid w:val="00356D62"/>
    <w:rsid w:val="00357B68"/>
    <w:rsid w:val="00357BEF"/>
    <w:rsid w:val="00357ECA"/>
    <w:rsid w:val="00361236"/>
    <w:rsid w:val="0036165C"/>
    <w:rsid w:val="003618DD"/>
    <w:rsid w:val="00361987"/>
    <w:rsid w:val="00361B02"/>
    <w:rsid w:val="00362F03"/>
    <w:rsid w:val="00363378"/>
    <w:rsid w:val="00363673"/>
    <w:rsid w:val="0036469F"/>
    <w:rsid w:val="00364A96"/>
    <w:rsid w:val="003667FB"/>
    <w:rsid w:val="003721F1"/>
    <w:rsid w:val="00373CFD"/>
    <w:rsid w:val="003740F1"/>
    <w:rsid w:val="003741B0"/>
    <w:rsid w:val="003750E4"/>
    <w:rsid w:val="00375EBD"/>
    <w:rsid w:val="00376328"/>
    <w:rsid w:val="00376920"/>
    <w:rsid w:val="00377516"/>
    <w:rsid w:val="0037773A"/>
    <w:rsid w:val="0037791B"/>
    <w:rsid w:val="00380330"/>
    <w:rsid w:val="00380CD6"/>
    <w:rsid w:val="0038222F"/>
    <w:rsid w:val="00382F2C"/>
    <w:rsid w:val="00383B1E"/>
    <w:rsid w:val="00384E51"/>
    <w:rsid w:val="0038537D"/>
    <w:rsid w:val="003856A2"/>
    <w:rsid w:val="003861C0"/>
    <w:rsid w:val="003867A1"/>
    <w:rsid w:val="00387019"/>
    <w:rsid w:val="00387F56"/>
    <w:rsid w:val="00390583"/>
    <w:rsid w:val="00390A74"/>
    <w:rsid w:val="00390AB3"/>
    <w:rsid w:val="00390DAB"/>
    <w:rsid w:val="003926EC"/>
    <w:rsid w:val="003927DD"/>
    <w:rsid w:val="003930D3"/>
    <w:rsid w:val="0039458F"/>
    <w:rsid w:val="003947A7"/>
    <w:rsid w:val="00394899"/>
    <w:rsid w:val="0039496B"/>
    <w:rsid w:val="00394BAE"/>
    <w:rsid w:val="003957BA"/>
    <w:rsid w:val="0039623D"/>
    <w:rsid w:val="003976BC"/>
    <w:rsid w:val="003A119A"/>
    <w:rsid w:val="003A157A"/>
    <w:rsid w:val="003A1EB2"/>
    <w:rsid w:val="003A1EED"/>
    <w:rsid w:val="003A4E2C"/>
    <w:rsid w:val="003A516F"/>
    <w:rsid w:val="003A51E7"/>
    <w:rsid w:val="003A58BE"/>
    <w:rsid w:val="003A5FD0"/>
    <w:rsid w:val="003A6741"/>
    <w:rsid w:val="003A68DB"/>
    <w:rsid w:val="003A7471"/>
    <w:rsid w:val="003B03BE"/>
    <w:rsid w:val="003B0C2F"/>
    <w:rsid w:val="003B3272"/>
    <w:rsid w:val="003B3380"/>
    <w:rsid w:val="003B4BEA"/>
    <w:rsid w:val="003B55BF"/>
    <w:rsid w:val="003B6D47"/>
    <w:rsid w:val="003B7015"/>
    <w:rsid w:val="003B76AC"/>
    <w:rsid w:val="003C0D7E"/>
    <w:rsid w:val="003C154C"/>
    <w:rsid w:val="003C19B7"/>
    <w:rsid w:val="003C20F5"/>
    <w:rsid w:val="003C22D7"/>
    <w:rsid w:val="003C3899"/>
    <w:rsid w:val="003C442B"/>
    <w:rsid w:val="003C46B7"/>
    <w:rsid w:val="003C49CC"/>
    <w:rsid w:val="003C5E15"/>
    <w:rsid w:val="003C6B34"/>
    <w:rsid w:val="003C7A50"/>
    <w:rsid w:val="003D02F3"/>
    <w:rsid w:val="003D0B70"/>
    <w:rsid w:val="003D0C72"/>
    <w:rsid w:val="003D0CF1"/>
    <w:rsid w:val="003D16FE"/>
    <w:rsid w:val="003D2237"/>
    <w:rsid w:val="003D2856"/>
    <w:rsid w:val="003D301A"/>
    <w:rsid w:val="003D4842"/>
    <w:rsid w:val="003D57B1"/>
    <w:rsid w:val="003D5FD7"/>
    <w:rsid w:val="003E0052"/>
    <w:rsid w:val="003E0799"/>
    <w:rsid w:val="003E0B3C"/>
    <w:rsid w:val="003E0FD0"/>
    <w:rsid w:val="003E17F8"/>
    <w:rsid w:val="003E1D0E"/>
    <w:rsid w:val="003E27E0"/>
    <w:rsid w:val="003E2953"/>
    <w:rsid w:val="003E2AC7"/>
    <w:rsid w:val="003E2C21"/>
    <w:rsid w:val="003E2FE8"/>
    <w:rsid w:val="003E3710"/>
    <w:rsid w:val="003E39FB"/>
    <w:rsid w:val="003E3FEB"/>
    <w:rsid w:val="003E42E5"/>
    <w:rsid w:val="003E4B40"/>
    <w:rsid w:val="003E5403"/>
    <w:rsid w:val="003E574D"/>
    <w:rsid w:val="003E763C"/>
    <w:rsid w:val="003F2B75"/>
    <w:rsid w:val="003F4132"/>
    <w:rsid w:val="003F4AA5"/>
    <w:rsid w:val="003F5EB5"/>
    <w:rsid w:val="00400105"/>
    <w:rsid w:val="00401D04"/>
    <w:rsid w:val="00401ECA"/>
    <w:rsid w:val="00403224"/>
    <w:rsid w:val="0040331B"/>
    <w:rsid w:val="004038E1"/>
    <w:rsid w:val="00403D98"/>
    <w:rsid w:val="00404D29"/>
    <w:rsid w:val="004075B3"/>
    <w:rsid w:val="00407B3C"/>
    <w:rsid w:val="00410606"/>
    <w:rsid w:val="00411C93"/>
    <w:rsid w:val="00412B0D"/>
    <w:rsid w:val="00412DC3"/>
    <w:rsid w:val="0041593D"/>
    <w:rsid w:val="004171DB"/>
    <w:rsid w:val="004207B5"/>
    <w:rsid w:val="00421684"/>
    <w:rsid w:val="004218E1"/>
    <w:rsid w:val="00421A7F"/>
    <w:rsid w:val="00422A9F"/>
    <w:rsid w:val="00423295"/>
    <w:rsid w:val="00424322"/>
    <w:rsid w:val="004247E6"/>
    <w:rsid w:val="00424D39"/>
    <w:rsid w:val="004260A8"/>
    <w:rsid w:val="0042644A"/>
    <w:rsid w:val="004276C6"/>
    <w:rsid w:val="00430181"/>
    <w:rsid w:val="00430B06"/>
    <w:rsid w:val="00431C87"/>
    <w:rsid w:val="00431E39"/>
    <w:rsid w:val="00432498"/>
    <w:rsid w:val="00433A56"/>
    <w:rsid w:val="00434AF4"/>
    <w:rsid w:val="00436835"/>
    <w:rsid w:val="00436EDD"/>
    <w:rsid w:val="0043714C"/>
    <w:rsid w:val="00437AD3"/>
    <w:rsid w:val="00437E56"/>
    <w:rsid w:val="00440916"/>
    <w:rsid w:val="00440A27"/>
    <w:rsid w:val="00440C2E"/>
    <w:rsid w:val="00440CDF"/>
    <w:rsid w:val="0044191B"/>
    <w:rsid w:val="0044232A"/>
    <w:rsid w:val="00443BD3"/>
    <w:rsid w:val="00450499"/>
    <w:rsid w:val="00450596"/>
    <w:rsid w:val="0045084F"/>
    <w:rsid w:val="00452546"/>
    <w:rsid w:val="0045348E"/>
    <w:rsid w:val="0045392F"/>
    <w:rsid w:val="0045475E"/>
    <w:rsid w:val="00455050"/>
    <w:rsid w:val="0045529A"/>
    <w:rsid w:val="00455D47"/>
    <w:rsid w:val="00460C9D"/>
    <w:rsid w:val="00461078"/>
    <w:rsid w:val="00461086"/>
    <w:rsid w:val="00461A6A"/>
    <w:rsid w:val="0046458C"/>
    <w:rsid w:val="00466235"/>
    <w:rsid w:val="0046648E"/>
    <w:rsid w:val="004678BB"/>
    <w:rsid w:val="00467998"/>
    <w:rsid w:val="00467F42"/>
    <w:rsid w:val="00470894"/>
    <w:rsid w:val="00471B86"/>
    <w:rsid w:val="00472065"/>
    <w:rsid w:val="004726A4"/>
    <w:rsid w:val="00474E08"/>
    <w:rsid w:val="00475D61"/>
    <w:rsid w:val="00476B73"/>
    <w:rsid w:val="004826D3"/>
    <w:rsid w:val="00482ADE"/>
    <w:rsid w:val="00484C33"/>
    <w:rsid w:val="0048518B"/>
    <w:rsid w:val="0048625D"/>
    <w:rsid w:val="004868FB"/>
    <w:rsid w:val="00487084"/>
    <w:rsid w:val="00490D24"/>
    <w:rsid w:val="00492511"/>
    <w:rsid w:val="0049272D"/>
    <w:rsid w:val="00497CE7"/>
    <w:rsid w:val="00497D88"/>
    <w:rsid w:val="00497EDC"/>
    <w:rsid w:val="004A0FC2"/>
    <w:rsid w:val="004A1382"/>
    <w:rsid w:val="004A26E6"/>
    <w:rsid w:val="004A2746"/>
    <w:rsid w:val="004A2844"/>
    <w:rsid w:val="004A2B02"/>
    <w:rsid w:val="004A3577"/>
    <w:rsid w:val="004A36C4"/>
    <w:rsid w:val="004A3D05"/>
    <w:rsid w:val="004A46EF"/>
    <w:rsid w:val="004A4F74"/>
    <w:rsid w:val="004A7533"/>
    <w:rsid w:val="004A7EC2"/>
    <w:rsid w:val="004B086A"/>
    <w:rsid w:val="004B0999"/>
    <w:rsid w:val="004B09B4"/>
    <w:rsid w:val="004B1670"/>
    <w:rsid w:val="004B2EAE"/>
    <w:rsid w:val="004B32DE"/>
    <w:rsid w:val="004B32EF"/>
    <w:rsid w:val="004B45D7"/>
    <w:rsid w:val="004B49AC"/>
    <w:rsid w:val="004B52B8"/>
    <w:rsid w:val="004B6B56"/>
    <w:rsid w:val="004B6C30"/>
    <w:rsid w:val="004B7912"/>
    <w:rsid w:val="004C117E"/>
    <w:rsid w:val="004C1DED"/>
    <w:rsid w:val="004C2B7B"/>
    <w:rsid w:val="004C41C3"/>
    <w:rsid w:val="004C4A5F"/>
    <w:rsid w:val="004C4A78"/>
    <w:rsid w:val="004C4FDE"/>
    <w:rsid w:val="004C646F"/>
    <w:rsid w:val="004C7C1E"/>
    <w:rsid w:val="004D0CD9"/>
    <w:rsid w:val="004D1F43"/>
    <w:rsid w:val="004D29BC"/>
    <w:rsid w:val="004D2D43"/>
    <w:rsid w:val="004D33B6"/>
    <w:rsid w:val="004D3B8F"/>
    <w:rsid w:val="004D3D33"/>
    <w:rsid w:val="004D479B"/>
    <w:rsid w:val="004D494C"/>
    <w:rsid w:val="004D4A03"/>
    <w:rsid w:val="004D4B4C"/>
    <w:rsid w:val="004D4CD5"/>
    <w:rsid w:val="004D640F"/>
    <w:rsid w:val="004D738C"/>
    <w:rsid w:val="004D7780"/>
    <w:rsid w:val="004D78D1"/>
    <w:rsid w:val="004D7DFE"/>
    <w:rsid w:val="004E0B06"/>
    <w:rsid w:val="004E1727"/>
    <w:rsid w:val="004E20AE"/>
    <w:rsid w:val="004E2AD7"/>
    <w:rsid w:val="004E2B1B"/>
    <w:rsid w:val="004E310D"/>
    <w:rsid w:val="004E4331"/>
    <w:rsid w:val="004E4BF7"/>
    <w:rsid w:val="004E547A"/>
    <w:rsid w:val="004E54B7"/>
    <w:rsid w:val="004E5B9C"/>
    <w:rsid w:val="004E7C51"/>
    <w:rsid w:val="004F07CF"/>
    <w:rsid w:val="004F0875"/>
    <w:rsid w:val="004F1891"/>
    <w:rsid w:val="004F18F8"/>
    <w:rsid w:val="004F19D6"/>
    <w:rsid w:val="004F1D6E"/>
    <w:rsid w:val="004F28A3"/>
    <w:rsid w:val="004F3276"/>
    <w:rsid w:val="004F3488"/>
    <w:rsid w:val="004F383C"/>
    <w:rsid w:val="004F39F8"/>
    <w:rsid w:val="004F433E"/>
    <w:rsid w:val="004F5487"/>
    <w:rsid w:val="004F588D"/>
    <w:rsid w:val="004F5A04"/>
    <w:rsid w:val="004F5FC7"/>
    <w:rsid w:val="004F6318"/>
    <w:rsid w:val="004F70BC"/>
    <w:rsid w:val="004F7177"/>
    <w:rsid w:val="005017F4"/>
    <w:rsid w:val="005028C0"/>
    <w:rsid w:val="00502EC4"/>
    <w:rsid w:val="005031D6"/>
    <w:rsid w:val="0050388B"/>
    <w:rsid w:val="00504626"/>
    <w:rsid w:val="00507842"/>
    <w:rsid w:val="0051010D"/>
    <w:rsid w:val="00510643"/>
    <w:rsid w:val="0051085A"/>
    <w:rsid w:val="00510A1F"/>
    <w:rsid w:val="00511A4E"/>
    <w:rsid w:val="00512A91"/>
    <w:rsid w:val="005134D2"/>
    <w:rsid w:val="005144CA"/>
    <w:rsid w:val="005145C2"/>
    <w:rsid w:val="0051502C"/>
    <w:rsid w:val="00515040"/>
    <w:rsid w:val="00515391"/>
    <w:rsid w:val="00516532"/>
    <w:rsid w:val="005169AC"/>
    <w:rsid w:val="00520CFE"/>
    <w:rsid w:val="0052187C"/>
    <w:rsid w:val="00522B23"/>
    <w:rsid w:val="00522B39"/>
    <w:rsid w:val="00522CA7"/>
    <w:rsid w:val="0052315A"/>
    <w:rsid w:val="00524321"/>
    <w:rsid w:val="005244DB"/>
    <w:rsid w:val="00524AFC"/>
    <w:rsid w:val="00524BF1"/>
    <w:rsid w:val="00526D37"/>
    <w:rsid w:val="00527259"/>
    <w:rsid w:val="00527690"/>
    <w:rsid w:val="00527C75"/>
    <w:rsid w:val="00531917"/>
    <w:rsid w:val="00532167"/>
    <w:rsid w:val="005355E3"/>
    <w:rsid w:val="00535C41"/>
    <w:rsid w:val="005364D4"/>
    <w:rsid w:val="00536520"/>
    <w:rsid w:val="00536940"/>
    <w:rsid w:val="005371BF"/>
    <w:rsid w:val="005375EA"/>
    <w:rsid w:val="005377A5"/>
    <w:rsid w:val="00540270"/>
    <w:rsid w:val="00540E25"/>
    <w:rsid w:val="00540FA4"/>
    <w:rsid w:val="00541189"/>
    <w:rsid w:val="00541CC5"/>
    <w:rsid w:val="00541FDF"/>
    <w:rsid w:val="00542387"/>
    <w:rsid w:val="0054362F"/>
    <w:rsid w:val="00543D29"/>
    <w:rsid w:val="00543E1F"/>
    <w:rsid w:val="00544666"/>
    <w:rsid w:val="0054556D"/>
    <w:rsid w:val="00545A3A"/>
    <w:rsid w:val="00547E0C"/>
    <w:rsid w:val="005506A9"/>
    <w:rsid w:val="00551398"/>
    <w:rsid w:val="005515A9"/>
    <w:rsid w:val="0055177E"/>
    <w:rsid w:val="00552B13"/>
    <w:rsid w:val="005533D5"/>
    <w:rsid w:val="005538F0"/>
    <w:rsid w:val="00553963"/>
    <w:rsid w:val="00553E51"/>
    <w:rsid w:val="0055478D"/>
    <w:rsid w:val="005547E2"/>
    <w:rsid w:val="00555105"/>
    <w:rsid w:val="0055581E"/>
    <w:rsid w:val="005569C7"/>
    <w:rsid w:val="005607DF"/>
    <w:rsid w:val="00562246"/>
    <w:rsid w:val="00563D05"/>
    <w:rsid w:val="00564390"/>
    <w:rsid w:val="00564F74"/>
    <w:rsid w:val="00565A8B"/>
    <w:rsid w:val="00565D73"/>
    <w:rsid w:val="0056602B"/>
    <w:rsid w:val="005665C7"/>
    <w:rsid w:val="00567AD6"/>
    <w:rsid w:val="00567BD5"/>
    <w:rsid w:val="00570825"/>
    <w:rsid w:val="005710A5"/>
    <w:rsid w:val="00571AB5"/>
    <w:rsid w:val="00571D0B"/>
    <w:rsid w:val="00572F01"/>
    <w:rsid w:val="005734D0"/>
    <w:rsid w:val="0057375D"/>
    <w:rsid w:val="00574560"/>
    <w:rsid w:val="00574A78"/>
    <w:rsid w:val="005754D5"/>
    <w:rsid w:val="00575846"/>
    <w:rsid w:val="00575F46"/>
    <w:rsid w:val="00576B7B"/>
    <w:rsid w:val="00577462"/>
    <w:rsid w:val="00580A7C"/>
    <w:rsid w:val="00580B02"/>
    <w:rsid w:val="00581795"/>
    <w:rsid w:val="0058192F"/>
    <w:rsid w:val="005826B1"/>
    <w:rsid w:val="00584271"/>
    <w:rsid w:val="005846D4"/>
    <w:rsid w:val="00585083"/>
    <w:rsid w:val="0058634B"/>
    <w:rsid w:val="00586C6A"/>
    <w:rsid w:val="00587728"/>
    <w:rsid w:val="00590AD2"/>
    <w:rsid w:val="00592477"/>
    <w:rsid w:val="00593B54"/>
    <w:rsid w:val="005948A8"/>
    <w:rsid w:val="00595018"/>
    <w:rsid w:val="00595CE3"/>
    <w:rsid w:val="00596B35"/>
    <w:rsid w:val="00596BE8"/>
    <w:rsid w:val="005973B8"/>
    <w:rsid w:val="0059769C"/>
    <w:rsid w:val="00597E18"/>
    <w:rsid w:val="005A0317"/>
    <w:rsid w:val="005A15A5"/>
    <w:rsid w:val="005A1942"/>
    <w:rsid w:val="005A1DC5"/>
    <w:rsid w:val="005A33CC"/>
    <w:rsid w:val="005A58C8"/>
    <w:rsid w:val="005A5E81"/>
    <w:rsid w:val="005A6B99"/>
    <w:rsid w:val="005A6C6A"/>
    <w:rsid w:val="005A792D"/>
    <w:rsid w:val="005A7BCA"/>
    <w:rsid w:val="005A7DF3"/>
    <w:rsid w:val="005A7FE4"/>
    <w:rsid w:val="005B004C"/>
    <w:rsid w:val="005B199F"/>
    <w:rsid w:val="005B2392"/>
    <w:rsid w:val="005B2A12"/>
    <w:rsid w:val="005B2E15"/>
    <w:rsid w:val="005B42DD"/>
    <w:rsid w:val="005B4424"/>
    <w:rsid w:val="005B5643"/>
    <w:rsid w:val="005B5A07"/>
    <w:rsid w:val="005B7426"/>
    <w:rsid w:val="005B7C56"/>
    <w:rsid w:val="005C1A2E"/>
    <w:rsid w:val="005C2338"/>
    <w:rsid w:val="005C35DF"/>
    <w:rsid w:val="005C3CE6"/>
    <w:rsid w:val="005C3FE2"/>
    <w:rsid w:val="005C49EA"/>
    <w:rsid w:val="005C4E34"/>
    <w:rsid w:val="005C58C7"/>
    <w:rsid w:val="005C7A1A"/>
    <w:rsid w:val="005C7D5E"/>
    <w:rsid w:val="005D0A45"/>
    <w:rsid w:val="005D18E2"/>
    <w:rsid w:val="005D1D47"/>
    <w:rsid w:val="005D21EC"/>
    <w:rsid w:val="005D3D18"/>
    <w:rsid w:val="005D408D"/>
    <w:rsid w:val="005D412F"/>
    <w:rsid w:val="005D58F5"/>
    <w:rsid w:val="005D6620"/>
    <w:rsid w:val="005D6706"/>
    <w:rsid w:val="005D6BDA"/>
    <w:rsid w:val="005D6DE9"/>
    <w:rsid w:val="005D6E5E"/>
    <w:rsid w:val="005D7245"/>
    <w:rsid w:val="005D7824"/>
    <w:rsid w:val="005D7D49"/>
    <w:rsid w:val="005D7DD3"/>
    <w:rsid w:val="005E04A4"/>
    <w:rsid w:val="005E04D7"/>
    <w:rsid w:val="005E081D"/>
    <w:rsid w:val="005E0D93"/>
    <w:rsid w:val="005E1B27"/>
    <w:rsid w:val="005E204C"/>
    <w:rsid w:val="005E232B"/>
    <w:rsid w:val="005E24AF"/>
    <w:rsid w:val="005E2564"/>
    <w:rsid w:val="005E26A8"/>
    <w:rsid w:val="005E26AE"/>
    <w:rsid w:val="005E2E22"/>
    <w:rsid w:val="005E2F91"/>
    <w:rsid w:val="005E3B65"/>
    <w:rsid w:val="005E40CB"/>
    <w:rsid w:val="005E54EC"/>
    <w:rsid w:val="005E55CE"/>
    <w:rsid w:val="005E5609"/>
    <w:rsid w:val="005E5C21"/>
    <w:rsid w:val="005E5F46"/>
    <w:rsid w:val="005E63C6"/>
    <w:rsid w:val="005E707A"/>
    <w:rsid w:val="005F0157"/>
    <w:rsid w:val="005F06DB"/>
    <w:rsid w:val="005F1725"/>
    <w:rsid w:val="005F1B86"/>
    <w:rsid w:val="005F1F5D"/>
    <w:rsid w:val="005F28CD"/>
    <w:rsid w:val="005F33C8"/>
    <w:rsid w:val="005F490C"/>
    <w:rsid w:val="005F4975"/>
    <w:rsid w:val="005F535A"/>
    <w:rsid w:val="005F5443"/>
    <w:rsid w:val="005F5C3E"/>
    <w:rsid w:val="005F5DF2"/>
    <w:rsid w:val="005F7BF4"/>
    <w:rsid w:val="0060000A"/>
    <w:rsid w:val="00600036"/>
    <w:rsid w:val="00600279"/>
    <w:rsid w:val="0060029F"/>
    <w:rsid w:val="00600352"/>
    <w:rsid w:val="0060203C"/>
    <w:rsid w:val="0060227E"/>
    <w:rsid w:val="00602B1D"/>
    <w:rsid w:val="006040C2"/>
    <w:rsid w:val="00604550"/>
    <w:rsid w:val="0060472D"/>
    <w:rsid w:val="00604CA0"/>
    <w:rsid w:val="00605307"/>
    <w:rsid w:val="006058E1"/>
    <w:rsid w:val="006068C2"/>
    <w:rsid w:val="0060776F"/>
    <w:rsid w:val="00607D5A"/>
    <w:rsid w:val="00607E3D"/>
    <w:rsid w:val="00610901"/>
    <w:rsid w:val="00610E23"/>
    <w:rsid w:val="00611E37"/>
    <w:rsid w:val="006127C5"/>
    <w:rsid w:val="006133C7"/>
    <w:rsid w:val="0061454D"/>
    <w:rsid w:val="00614632"/>
    <w:rsid w:val="00614DEE"/>
    <w:rsid w:val="00615006"/>
    <w:rsid w:val="006168D4"/>
    <w:rsid w:val="006171BB"/>
    <w:rsid w:val="00617343"/>
    <w:rsid w:val="00617B51"/>
    <w:rsid w:val="00617BA3"/>
    <w:rsid w:val="00620065"/>
    <w:rsid w:val="00620074"/>
    <w:rsid w:val="006222DF"/>
    <w:rsid w:val="00622817"/>
    <w:rsid w:val="0062379B"/>
    <w:rsid w:val="00624118"/>
    <w:rsid w:val="006245A5"/>
    <w:rsid w:val="006267B0"/>
    <w:rsid w:val="00626891"/>
    <w:rsid w:val="00626A5E"/>
    <w:rsid w:val="00630387"/>
    <w:rsid w:val="0063110E"/>
    <w:rsid w:val="00631219"/>
    <w:rsid w:val="00631398"/>
    <w:rsid w:val="00632CA6"/>
    <w:rsid w:val="00634121"/>
    <w:rsid w:val="00634F49"/>
    <w:rsid w:val="00635C02"/>
    <w:rsid w:val="00637C23"/>
    <w:rsid w:val="00637D65"/>
    <w:rsid w:val="00640499"/>
    <w:rsid w:val="006407B5"/>
    <w:rsid w:val="00640EF4"/>
    <w:rsid w:val="00641163"/>
    <w:rsid w:val="0064129B"/>
    <w:rsid w:val="00641CD7"/>
    <w:rsid w:val="00642247"/>
    <w:rsid w:val="006422AE"/>
    <w:rsid w:val="00643A1D"/>
    <w:rsid w:val="00643E09"/>
    <w:rsid w:val="0064716C"/>
    <w:rsid w:val="006478B6"/>
    <w:rsid w:val="006501C3"/>
    <w:rsid w:val="00650225"/>
    <w:rsid w:val="00650FEE"/>
    <w:rsid w:val="00651952"/>
    <w:rsid w:val="00651BBB"/>
    <w:rsid w:val="00651F0F"/>
    <w:rsid w:val="0065298F"/>
    <w:rsid w:val="00653EBD"/>
    <w:rsid w:val="00654287"/>
    <w:rsid w:val="00655544"/>
    <w:rsid w:val="00655839"/>
    <w:rsid w:val="00655D03"/>
    <w:rsid w:val="0065642D"/>
    <w:rsid w:val="006565D7"/>
    <w:rsid w:val="00657429"/>
    <w:rsid w:val="0066031B"/>
    <w:rsid w:val="00660CC6"/>
    <w:rsid w:val="00661ED5"/>
    <w:rsid w:val="006633FA"/>
    <w:rsid w:val="00663E5D"/>
    <w:rsid w:val="006656D6"/>
    <w:rsid w:val="006667C8"/>
    <w:rsid w:val="00666831"/>
    <w:rsid w:val="00666B45"/>
    <w:rsid w:val="00666D31"/>
    <w:rsid w:val="00667A53"/>
    <w:rsid w:val="00667AC3"/>
    <w:rsid w:val="006713ED"/>
    <w:rsid w:val="00671953"/>
    <w:rsid w:val="006719F8"/>
    <w:rsid w:val="0067204B"/>
    <w:rsid w:val="00672637"/>
    <w:rsid w:val="006731E1"/>
    <w:rsid w:val="00673272"/>
    <w:rsid w:val="00673961"/>
    <w:rsid w:val="00674132"/>
    <w:rsid w:val="006746E2"/>
    <w:rsid w:val="00676B48"/>
    <w:rsid w:val="00676D5A"/>
    <w:rsid w:val="006771D2"/>
    <w:rsid w:val="00680F9B"/>
    <w:rsid w:val="006813DB"/>
    <w:rsid w:val="006813DC"/>
    <w:rsid w:val="006825A8"/>
    <w:rsid w:val="00682995"/>
    <w:rsid w:val="006833B8"/>
    <w:rsid w:val="0068438C"/>
    <w:rsid w:val="00684579"/>
    <w:rsid w:val="0068482A"/>
    <w:rsid w:val="00684E4C"/>
    <w:rsid w:val="00685170"/>
    <w:rsid w:val="0068522B"/>
    <w:rsid w:val="0068529E"/>
    <w:rsid w:val="006860A9"/>
    <w:rsid w:val="006866DD"/>
    <w:rsid w:val="0068674C"/>
    <w:rsid w:val="00686AE7"/>
    <w:rsid w:val="006871AE"/>
    <w:rsid w:val="006904B0"/>
    <w:rsid w:val="0069090B"/>
    <w:rsid w:val="00691799"/>
    <w:rsid w:val="006925C8"/>
    <w:rsid w:val="006930CB"/>
    <w:rsid w:val="006946D0"/>
    <w:rsid w:val="00694BCD"/>
    <w:rsid w:val="00694C20"/>
    <w:rsid w:val="00694D9C"/>
    <w:rsid w:val="00696FBB"/>
    <w:rsid w:val="006979FD"/>
    <w:rsid w:val="006A00EB"/>
    <w:rsid w:val="006A0427"/>
    <w:rsid w:val="006A08B4"/>
    <w:rsid w:val="006A167F"/>
    <w:rsid w:val="006A20A4"/>
    <w:rsid w:val="006A2E9B"/>
    <w:rsid w:val="006A332D"/>
    <w:rsid w:val="006A45FF"/>
    <w:rsid w:val="006A472A"/>
    <w:rsid w:val="006A481C"/>
    <w:rsid w:val="006A51C6"/>
    <w:rsid w:val="006A5F23"/>
    <w:rsid w:val="006A672A"/>
    <w:rsid w:val="006A6F39"/>
    <w:rsid w:val="006A7642"/>
    <w:rsid w:val="006A7966"/>
    <w:rsid w:val="006A7C54"/>
    <w:rsid w:val="006A7E3F"/>
    <w:rsid w:val="006B0AC1"/>
    <w:rsid w:val="006B25D3"/>
    <w:rsid w:val="006B2B17"/>
    <w:rsid w:val="006B37D4"/>
    <w:rsid w:val="006B38EA"/>
    <w:rsid w:val="006B3B78"/>
    <w:rsid w:val="006B3C76"/>
    <w:rsid w:val="006B59DA"/>
    <w:rsid w:val="006B5CD8"/>
    <w:rsid w:val="006B6410"/>
    <w:rsid w:val="006C163E"/>
    <w:rsid w:val="006C1969"/>
    <w:rsid w:val="006C1D39"/>
    <w:rsid w:val="006C3192"/>
    <w:rsid w:val="006C4412"/>
    <w:rsid w:val="006C5A96"/>
    <w:rsid w:val="006C61CF"/>
    <w:rsid w:val="006D022A"/>
    <w:rsid w:val="006D02F3"/>
    <w:rsid w:val="006D0FCA"/>
    <w:rsid w:val="006D10DA"/>
    <w:rsid w:val="006D1E6D"/>
    <w:rsid w:val="006D1FC0"/>
    <w:rsid w:val="006D253C"/>
    <w:rsid w:val="006D2D63"/>
    <w:rsid w:val="006D3A03"/>
    <w:rsid w:val="006D4A73"/>
    <w:rsid w:val="006D56D1"/>
    <w:rsid w:val="006D57BD"/>
    <w:rsid w:val="006D61A7"/>
    <w:rsid w:val="006D7C51"/>
    <w:rsid w:val="006E186A"/>
    <w:rsid w:val="006E2343"/>
    <w:rsid w:val="006E2A0E"/>
    <w:rsid w:val="006E34A2"/>
    <w:rsid w:val="006E389A"/>
    <w:rsid w:val="006E3A81"/>
    <w:rsid w:val="006E4B7D"/>
    <w:rsid w:val="006E4E1B"/>
    <w:rsid w:val="006E56A8"/>
    <w:rsid w:val="006E5EED"/>
    <w:rsid w:val="006E6709"/>
    <w:rsid w:val="006F04DF"/>
    <w:rsid w:val="006F2490"/>
    <w:rsid w:val="006F3928"/>
    <w:rsid w:val="006F3A9A"/>
    <w:rsid w:val="006F3F5C"/>
    <w:rsid w:val="006F3FAE"/>
    <w:rsid w:val="006F5549"/>
    <w:rsid w:val="006F5DAD"/>
    <w:rsid w:val="006F60AC"/>
    <w:rsid w:val="006F6B81"/>
    <w:rsid w:val="007002F2"/>
    <w:rsid w:val="007017BB"/>
    <w:rsid w:val="00701BC5"/>
    <w:rsid w:val="00702370"/>
    <w:rsid w:val="00703050"/>
    <w:rsid w:val="0070394B"/>
    <w:rsid w:val="00703B1D"/>
    <w:rsid w:val="00703E4D"/>
    <w:rsid w:val="00703F02"/>
    <w:rsid w:val="00703F95"/>
    <w:rsid w:val="0070432C"/>
    <w:rsid w:val="007047F8"/>
    <w:rsid w:val="00705D99"/>
    <w:rsid w:val="007072FE"/>
    <w:rsid w:val="007074A4"/>
    <w:rsid w:val="00707DBA"/>
    <w:rsid w:val="00712273"/>
    <w:rsid w:val="007126A4"/>
    <w:rsid w:val="00712808"/>
    <w:rsid w:val="00712A4E"/>
    <w:rsid w:val="007141B7"/>
    <w:rsid w:val="00714268"/>
    <w:rsid w:val="0071622D"/>
    <w:rsid w:val="007163E8"/>
    <w:rsid w:val="00716DB3"/>
    <w:rsid w:val="00720717"/>
    <w:rsid w:val="00720A37"/>
    <w:rsid w:val="00720AEF"/>
    <w:rsid w:val="00721400"/>
    <w:rsid w:val="00722EA2"/>
    <w:rsid w:val="0072305E"/>
    <w:rsid w:val="007233B4"/>
    <w:rsid w:val="00724393"/>
    <w:rsid w:val="007248CF"/>
    <w:rsid w:val="00724BDA"/>
    <w:rsid w:val="00724D80"/>
    <w:rsid w:val="00725C50"/>
    <w:rsid w:val="0072612F"/>
    <w:rsid w:val="00727539"/>
    <w:rsid w:val="00732934"/>
    <w:rsid w:val="00732AAC"/>
    <w:rsid w:val="00733060"/>
    <w:rsid w:val="00733CA5"/>
    <w:rsid w:val="00733F39"/>
    <w:rsid w:val="00734755"/>
    <w:rsid w:val="00736EC6"/>
    <w:rsid w:val="00737342"/>
    <w:rsid w:val="007373D5"/>
    <w:rsid w:val="0073747B"/>
    <w:rsid w:val="007378D1"/>
    <w:rsid w:val="00740A36"/>
    <w:rsid w:val="00740E21"/>
    <w:rsid w:val="007411E4"/>
    <w:rsid w:val="00741415"/>
    <w:rsid w:val="00742E3A"/>
    <w:rsid w:val="00742E70"/>
    <w:rsid w:val="00744043"/>
    <w:rsid w:val="0074454B"/>
    <w:rsid w:val="00745033"/>
    <w:rsid w:val="00745B23"/>
    <w:rsid w:val="007466A4"/>
    <w:rsid w:val="00746CFF"/>
    <w:rsid w:val="00747888"/>
    <w:rsid w:val="00747C47"/>
    <w:rsid w:val="00747D73"/>
    <w:rsid w:val="0075016B"/>
    <w:rsid w:val="00751567"/>
    <w:rsid w:val="007528A9"/>
    <w:rsid w:val="00752D13"/>
    <w:rsid w:val="0075326D"/>
    <w:rsid w:val="0075353C"/>
    <w:rsid w:val="007540C3"/>
    <w:rsid w:val="00754174"/>
    <w:rsid w:val="00754B18"/>
    <w:rsid w:val="00754D46"/>
    <w:rsid w:val="00754ECB"/>
    <w:rsid w:val="00756575"/>
    <w:rsid w:val="00760599"/>
    <w:rsid w:val="00761BA8"/>
    <w:rsid w:val="00762914"/>
    <w:rsid w:val="00763B81"/>
    <w:rsid w:val="00763DB6"/>
    <w:rsid w:val="00764FC2"/>
    <w:rsid w:val="00765122"/>
    <w:rsid w:val="007653A5"/>
    <w:rsid w:val="00766394"/>
    <w:rsid w:val="00767AFB"/>
    <w:rsid w:val="007702C8"/>
    <w:rsid w:val="00771586"/>
    <w:rsid w:val="00771EE3"/>
    <w:rsid w:val="00771EEC"/>
    <w:rsid w:val="00772F0D"/>
    <w:rsid w:val="007740A2"/>
    <w:rsid w:val="0077457B"/>
    <w:rsid w:val="00774D99"/>
    <w:rsid w:val="00776171"/>
    <w:rsid w:val="00776EBE"/>
    <w:rsid w:val="007771EF"/>
    <w:rsid w:val="0077746A"/>
    <w:rsid w:val="0077772B"/>
    <w:rsid w:val="00780C5C"/>
    <w:rsid w:val="00780EEE"/>
    <w:rsid w:val="00781470"/>
    <w:rsid w:val="00782186"/>
    <w:rsid w:val="0078308E"/>
    <w:rsid w:val="00783F1E"/>
    <w:rsid w:val="007840B5"/>
    <w:rsid w:val="00784A9F"/>
    <w:rsid w:val="00785707"/>
    <w:rsid w:val="00786302"/>
    <w:rsid w:val="00790626"/>
    <w:rsid w:val="007906B6"/>
    <w:rsid w:val="00791005"/>
    <w:rsid w:val="0079109C"/>
    <w:rsid w:val="00791536"/>
    <w:rsid w:val="00791857"/>
    <w:rsid w:val="00791D3B"/>
    <w:rsid w:val="00792FDB"/>
    <w:rsid w:val="00793BF5"/>
    <w:rsid w:val="00795781"/>
    <w:rsid w:val="007963B6"/>
    <w:rsid w:val="00797991"/>
    <w:rsid w:val="007A026F"/>
    <w:rsid w:val="007A1386"/>
    <w:rsid w:val="007A16EA"/>
    <w:rsid w:val="007A254A"/>
    <w:rsid w:val="007A2AE8"/>
    <w:rsid w:val="007A2E34"/>
    <w:rsid w:val="007A2FFC"/>
    <w:rsid w:val="007A3ED5"/>
    <w:rsid w:val="007A498C"/>
    <w:rsid w:val="007A5CA0"/>
    <w:rsid w:val="007A6079"/>
    <w:rsid w:val="007A60A2"/>
    <w:rsid w:val="007A62F8"/>
    <w:rsid w:val="007A634D"/>
    <w:rsid w:val="007A6496"/>
    <w:rsid w:val="007A7000"/>
    <w:rsid w:val="007B16FC"/>
    <w:rsid w:val="007B1B26"/>
    <w:rsid w:val="007B1C65"/>
    <w:rsid w:val="007B24DD"/>
    <w:rsid w:val="007B29D5"/>
    <w:rsid w:val="007B31CA"/>
    <w:rsid w:val="007B3ACD"/>
    <w:rsid w:val="007B4CBD"/>
    <w:rsid w:val="007B590E"/>
    <w:rsid w:val="007B59A6"/>
    <w:rsid w:val="007B5D0F"/>
    <w:rsid w:val="007B5FAF"/>
    <w:rsid w:val="007B7567"/>
    <w:rsid w:val="007B796A"/>
    <w:rsid w:val="007C0394"/>
    <w:rsid w:val="007C1377"/>
    <w:rsid w:val="007C150E"/>
    <w:rsid w:val="007C290C"/>
    <w:rsid w:val="007C2EF7"/>
    <w:rsid w:val="007C4795"/>
    <w:rsid w:val="007C49AE"/>
    <w:rsid w:val="007C5BAC"/>
    <w:rsid w:val="007C63D5"/>
    <w:rsid w:val="007D0192"/>
    <w:rsid w:val="007D1DED"/>
    <w:rsid w:val="007D2226"/>
    <w:rsid w:val="007D2940"/>
    <w:rsid w:val="007D421C"/>
    <w:rsid w:val="007D4D1B"/>
    <w:rsid w:val="007D6359"/>
    <w:rsid w:val="007D73BD"/>
    <w:rsid w:val="007D7DAE"/>
    <w:rsid w:val="007D7E87"/>
    <w:rsid w:val="007E0B41"/>
    <w:rsid w:val="007E0EEE"/>
    <w:rsid w:val="007E12DE"/>
    <w:rsid w:val="007E25F6"/>
    <w:rsid w:val="007E26D5"/>
    <w:rsid w:val="007E4AE4"/>
    <w:rsid w:val="007E4F0D"/>
    <w:rsid w:val="007E57F7"/>
    <w:rsid w:val="007E5B6C"/>
    <w:rsid w:val="007E7495"/>
    <w:rsid w:val="007F0644"/>
    <w:rsid w:val="007F0EF6"/>
    <w:rsid w:val="007F1B73"/>
    <w:rsid w:val="007F3821"/>
    <w:rsid w:val="007F3ED8"/>
    <w:rsid w:val="007F4311"/>
    <w:rsid w:val="007F519E"/>
    <w:rsid w:val="007F74A8"/>
    <w:rsid w:val="007F7540"/>
    <w:rsid w:val="007F7BC0"/>
    <w:rsid w:val="007F7EFE"/>
    <w:rsid w:val="00800247"/>
    <w:rsid w:val="0080078B"/>
    <w:rsid w:val="00800E99"/>
    <w:rsid w:val="00802BC5"/>
    <w:rsid w:val="00805437"/>
    <w:rsid w:val="00805B50"/>
    <w:rsid w:val="00806061"/>
    <w:rsid w:val="00806A4B"/>
    <w:rsid w:val="00807CAA"/>
    <w:rsid w:val="00807FAF"/>
    <w:rsid w:val="00810422"/>
    <w:rsid w:val="00810CAE"/>
    <w:rsid w:val="00810F65"/>
    <w:rsid w:val="008112B3"/>
    <w:rsid w:val="0081211C"/>
    <w:rsid w:val="008136CE"/>
    <w:rsid w:val="00813B58"/>
    <w:rsid w:val="00815516"/>
    <w:rsid w:val="00815E4C"/>
    <w:rsid w:val="00816500"/>
    <w:rsid w:val="008176BD"/>
    <w:rsid w:val="00820956"/>
    <w:rsid w:val="00821FC7"/>
    <w:rsid w:val="00822606"/>
    <w:rsid w:val="008233F8"/>
    <w:rsid w:val="00823DA1"/>
    <w:rsid w:val="008252F5"/>
    <w:rsid w:val="00825F04"/>
    <w:rsid w:val="008273C1"/>
    <w:rsid w:val="00827993"/>
    <w:rsid w:val="00827AC7"/>
    <w:rsid w:val="0083066C"/>
    <w:rsid w:val="0083098B"/>
    <w:rsid w:val="0083199B"/>
    <w:rsid w:val="00832544"/>
    <w:rsid w:val="008325DA"/>
    <w:rsid w:val="008329A8"/>
    <w:rsid w:val="00832FFA"/>
    <w:rsid w:val="00834207"/>
    <w:rsid w:val="00834C19"/>
    <w:rsid w:val="008351BC"/>
    <w:rsid w:val="00835496"/>
    <w:rsid w:val="00835669"/>
    <w:rsid w:val="00835A00"/>
    <w:rsid w:val="00835E39"/>
    <w:rsid w:val="00837B11"/>
    <w:rsid w:val="00840008"/>
    <w:rsid w:val="00840035"/>
    <w:rsid w:val="008402A1"/>
    <w:rsid w:val="008405CC"/>
    <w:rsid w:val="008408C0"/>
    <w:rsid w:val="00840E4D"/>
    <w:rsid w:val="0084167B"/>
    <w:rsid w:val="0084173C"/>
    <w:rsid w:val="00841C9B"/>
    <w:rsid w:val="00841E3C"/>
    <w:rsid w:val="00843BF8"/>
    <w:rsid w:val="00844D09"/>
    <w:rsid w:val="00844D3E"/>
    <w:rsid w:val="0084555E"/>
    <w:rsid w:val="008461DF"/>
    <w:rsid w:val="008462FE"/>
    <w:rsid w:val="00846898"/>
    <w:rsid w:val="008469D1"/>
    <w:rsid w:val="008474EC"/>
    <w:rsid w:val="008505E4"/>
    <w:rsid w:val="008507BF"/>
    <w:rsid w:val="0085185E"/>
    <w:rsid w:val="00851C5F"/>
    <w:rsid w:val="0085238A"/>
    <w:rsid w:val="00852704"/>
    <w:rsid w:val="00852F5A"/>
    <w:rsid w:val="00853886"/>
    <w:rsid w:val="00853B80"/>
    <w:rsid w:val="00853C46"/>
    <w:rsid w:val="0085458D"/>
    <w:rsid w:val="00854840"/>
    <w:rsid w:val="0085502F"/>
    <w:rsid w:val="00855FCB"/>
    <w:rsid w:val="008560E3"/>
    <w:rsid w:val="00856AA1"/>
    <w:rsid w:val="00856D75"/>
    <w:rsid w:val="00857848"/>
    <w:rsid w:val="00857EEB"/>
    <w:rsid w:val="00860253"/>
    <w:rsid w:val="00861293"/>
    <w:rsid w:val="00861C6E"/>
    <w:rsid w:val="008622E2"/>
    <w:rsid w:val="00862D76"/>
    <w:rsid w:val="0086300D"/>
    <w:rsid w:val="0086450D"/>
    <w:rsid w:val="00865E74"/>
    <w:rsid w:val="00866128"/>
    <w:rsid w:val="0086624B"/>
    <w:rsid w:val="00870C3F"/>
    <w:rsid w:val="00870F6B"/>
    <w:rsid w:val="0087136A"/>
    <w:rsid w:val="008729B2"/>
    <w:rsid w:val="00872D2C"/>
    <w:rsid w:val="0087394C"/>
    <w:rsid w:val="00873D20"/>
    <w:rsid w:val="00873EA2"/>
    <w:rsid w:val="008740EB"/>
    <w:rsid w:val="00874E6B"/>
    <w:rsid w:val="00875067"/>
    <w:rsid w:val="00875DA1"/>
    <w:rsid w:val="008769E5"/>
    <w:rsid w:val="008807D5"/>
    <w:rsid w:val="00880C5B"/>
    <w:rsid w:val="00881304"/>
    <w:rsid w:val="00881677"/>
    <w:rsid w:val="00881AB8"/>
    <w:rsid w:val="00882C95"/>
    <w:rsid w:val="00883550"/>
    <w:rsid w:val="0088358A"/>
    <w:rsid w:val="00884E4A"/>
    <w:rsid w:val="0088552E"/>
    <w:rsid w:val="008866AB"/>
    <w:rsid w:val="0088794C"/>
    <w:rsid w:val="0089061F"/>
    <w:rsid w:val="00890E05"/>
    <w:rsid w:val="008917B7"/>
    <w:rsid w:val="00891D8C"/>
    <w:rsid w:val="00892958"/>
    <w:rsid w:val="00893037"/>
    <w:rsid w:val="00893BFB"/>
    <w:rsid w:val="00893D86"/>
    <w:rsid w:val="00893E35"/>
    <w:rsid w:val="00895C8F"/>
    <w:rsid w:val="0089725F"/>
    <w:rsid w:val="00897373"/>
    <w:rsid w:val="00897DE7"/>
    <w:rsid w:val="008A0369"/>
    <w:rsid w:val="008A052F"/>
    <w:rsid w:val="008A054D"/>
    <w:rsid w:val="008A18A1"/>
    <w:rsid w:val="008A1F9A"/>
    <w:rsid w:val="008A3DAD"/>
    <w:rsid w:val="008A4EBA"/>
    <w:rsid w:val="008A54B4"/>
    <w:rsid w:val="008A5926"/>
    <w:rsid w:val="008A5F00"/>
    <w:rsid w:val="008A5F1B"/>
    <w:rsid w:val="008A70B6"/>
    <w:rsid w:val="008A7435"/>
    <w:rsid w:val="008B09E6"/>
    <w:rsid w:val="008B14D9"/>
    <w:rsid w:val="008B4642"/>
    <w:rsid w:val="008B49F9"/>
    <w:rsid w:val="008B4A19"/>
    <w:rsid w:val="008B4CAF"/>
    <w:rsid w:val="008B57CD"/>
    <w:rsid w:val="008B789E"/>
    <w:rsid w:val="008C0B6A"/>
    <w:rsid w:val="008C108F"/>
    <w:rsid w:val="008C1629"/>
    <w:rsid w:val="008C1CCF"/>
    <w:rsid w:val="008C257B"/>
    <w:rsid w:val="008C2CB5"/>
    <w:rsid w:val="008C30AA"/>
    <w:rsid w:val="008C50F5"/>
    <w:rsid w:val="008C6159"/>
    <w:rsid w:val="008C65CE"/>
    <w:rsid w:val="008C7E78"/>
    <w:rsid w:val="008D1685"/>
    <w:rsid w:val="008D3B98"/>
    <w:rsid w:val="008D425C"/>
    <w:rsid w:val="008D45CD"/>
    <w:rsid w:val="008D46EC"/>
    <w:rsid w:val="008D499A"/>
    <w:rsid w:val="008D4B4C"/>
    <w:rsid w:val="008D5157"/>
    <w:rsid w:val="008D5718"/>
    <w:rsid w:val="008D75DF"/>
    <w:rsid w:val="008D7951"/>
    <w:rsid w:val="008E13A4"/>
    <w:rsid w:val="008E34FF"/>
    <w:rsid w:val="008E4403"/>
    <w:rsid w:val="008E4D7D"/>
    <w:rsid w:val="008E7493"/>
    <w:rsid w:val="008F00F5"/>
    <w:rsid w:val="008F0A6A"/>
    <w:rsid w:val="008F0ED6"/>
    <w:rsid w:val="008F1A22"/>
    <w:rsid w:val="008F262E"/>
    <w:rsid w:val="008F2CDF"/>
    <w:rsid w:val="008F2FAE"/>
    <w:rsid w:val="008F358E"/>
    <w:rsid w:val="008F3915"/>
    <w:rsid w:val="008F39EB"/>
    <w:rsid w:val="008F4CBC"/>
    <w:rsid w:val="008F4D56"/>
    <w:rsid w:val="008F4F5A"/>
    <w:rsid w:val="008F5A8B"/>
    <w:rsid w:val="008F7061"/>
    <w:rsid w:val="008F7208"/>
    <w:rsid w:val="008F732D"/>
    <w:rsid w:val="00900F6D"/>
    <w:rsid w:val="0090103A"/>
    <w:rsid w:val="00901C97"/>
    <w:rsid w:val="009021B4"/>
    <w:rsid w:val="009023B3"/>
    <w:rsid w:val="0090263B"/>
    <w:rsid w:val="00905467"/>
    <w:rsid w:val="009054C7"/>
    <w:rsid w:val="0090613E"/>
    <w:rsid w:val="00906C4F"/>
    <w:rsid w:val="00907245"/>
    <w:rsid w:val="00910662"/>
    <w:rsid w:val="0091287C"/>
    <w:rsid w:val="00912ADF"/>
    <w:rsid w:val="00912CE8"/>
    <w:rsid w:val="00914DA6"/>
    <w:rsid w:val="00915446"/>
    <w:rsid w:val="00916064"/>
    <w:rsid w:val="00920A5F"/>
    <w:rsid w:val="00920EEF"/>
    <w:rsid w:val="0092107B"/>
    <w:rsid w:val="00922B3B"/>
    <w:rsid w:val="00922DEA"/>
    <w:rsid w:val="009248F8"/>
    <w:rsid w:val="009263CC"/>
    <w:rsid w:val="00926951"/>
    <w:rsid w:val="00927048"/>
    <w:rsid w:val="00927962"/>
    <w:rsid w:val="009306B2"/>
    <w:rsid w:val="00930A80"/>
    <w:rsid w:val="00930B7F"/>
    <w:rsid w:val="009315B6"/>
    <w:rsid w:val="00931C0C"/>
    <w:rsid w:val="00933B1B"/>
    <w:rsid w:val="0093403B"/>
    <w:rsid w:val="00937381"/>
    <w:rsid w:val="009374AF"/>
    <w:rsid w:val="009378BE"/>
    <w:rsid w:val="0093796A"/>
    <w:rsid w:val="00937E46"/>
    <w:rsid w:val="00940535"/>
    <w:rsid w:val="00940A32"/>
    <w:rsid w:val="00940B30"/>
    <w:rsid w:val="00942D33"/>
    <w:rsid w:val="0094314A"/>
    <w:rsid w:val="009431F2"/>
    <w:rsid w:val="00943416"/>
    <w:rsid w:val="00943A28"/>
    <w:rsid w:val="00943EA2"/>
    <w:rsid w:val="0094409A"/>
    <w:rsid w:val="00944880"/>
    <w:rsid w:val="00944F7C"/>
    <w:rsid w:val="00945EA3"/>
    <w:rsid w:val="00945ED3"/>
    <w:rsid w:val="0094637B"/>
    <w:rsid w:val="00946B8A"/>
    <w:rsid w:val="00947370"/>
    <w:rsid w:val="00947F5C"/>
    <w:rsid w:val="00950468"/>
    <w:rsid w:val="00950E61"/>
    <w:rsid w:val="009510D4"/>
    <w:rsid w:val="00951F5B"/>
    <w:rsid w:val="00952403"/>
    <w:rsid w:val="009524C8"/>
    <w:rsid w:val="00954BC1"/>
    <w:rsid w:val="00956222"/>
    <w:rsid w:val="00956939"/>
    <w:rsid w:val="0095784B"/>
    <w:rsid w:val="00960EB8"/>
    <w:rsid w:val="00963158"/>
    <w:rsid w:val="00963460"/>
    <w:rsid w:val="00963B9C"/>
    <w:rsid w:val="00963CF9"/>
    <w:rsid w:val="00963EA2"/>
    <w:rsid w:val="009644EB"/>
    <w:rsid w:val="009646B4"/>
    <w:rsid w:val="00964FFF"/>
    <w:rsid w:val="00965BB0"/>
    <w:rsid w:val="009666BD"/>
    <w:rsid w:val="00967037"/>
    <w:rsid w:val="00967D57"/>
    <w:rsid w:val="00967E60"/>
    <w:rsid w:val="00967F36"/>
    <w:rsid w:val="0097066B"/>
    <w:rsid w:val="009707EF"/>
    <w:rsid w:val="009709C3"/>
    <w:rsid w:val="009710D4"/>
    <w:rsid w:val="00971556"/>
    <w:rsid w:val="00972AE7"/>
    <w:rsid w:val="00974B92"/>
    <w:rsid w:val="009756C0"/>
    <w:rsid w:val="009810C6"/>
    <w:rsid w:val="0098111F"/>
    <w:rsid w:val="00982134"/>
    <w:rsid w:val="009827A3"/>
    <w:rsid w:val="00983407"/>
    <w:rsid w:val="00983969"/>
    <w:rsid w:val="00984004"/>
    <w:rsid w:val="009849C2"/>
    <w:rsid w:val="00986D23"/>
    <w:rsid w:val="00987AC5"/>
    <w:rsid w:val="0099053E"/>
    <w:rsid w:val="0099097B"/>
    <w:rsid w:val="00990D98"/>
    <w:rsid w:val="00991140"/>
    <w:rsid w:val="009924C3"/>
    <w:rsid w:val="00993802"/>
    <w:rsid w:val="00993841"/>
    <w:rsid w:val="009956CA"/>
    <w:rsid w:val="0099602C"/>
    <w:rsid w:val="0099653B"/>
    <w:rsid w:val="009A0126"/>
    <w:rsid w:val="009A05D7"/>
    <w:rsid w:val="009A29C7"/>
    <w:rsid w:val="009A2A47"/>
    <w:rsid w:val="009A3733"/>
    <w:rsid w:val="009A41C0"/>
    <w:rsid w:val="009A4F21"/>
    <w:rsid w:val="009A620E"/>
    <w:rsid w:val="009A6B5A"/>
    <w:rsid w:val="009A70B4"/>
    <w:rsid w:val="009A7156"/>
    <w:rsid w:val="009A7970"/>
    <w:rsid w:val="009B0D4C"/>
    <w:rsid w:val="009B0F6B"/>
    <w:rsid w:val="009B185B"/>
    <w:rsid w:val="009B2567"/>
    <w:rsid w:val="009B2C0A"/>
    <w:rsid w:val="009B38D7"/>
    <w:rsid w:val="009B425F"/>
    <w:rsid w:val="009B4722"/>
    <w:rsid w:val="009B4C84"/>
    <w:rsid w:val="009B56C1"/>
    <w:rsid w:val="009B57A0"/>
    <w:rsid w:val="009B5DC5"/>
    <w:rsid w:val="009B6667"/>
    <w:rsid w:val="009B75EF"/>
    <w:rsid w:val="009C0B89"/>
    <w:rsid w:val="009C0CE6"/>
    <w:rsid w:val="009C1218"/>
    <w:rsid w:val="009C18B9"/>
    <w:rsid w:val="009C32CC"/>
    <w:rsid w:val="009C367C"/>
    <w:rsid w:val="009C5391"/>
    <w:rsid w:val="009C587F"/>
    <w:rsid w:val="009C67BF"/>
    <w:rsid w:val="009C6BCD"/>
    <w:rsid w:val="009C6D66"/>
    <w:rsid w:val="009D189C"/>
    <w:rsid w:val="009D2848"/>
    <w:rsid w:val="009D2990"/>
    <w:rsid w:val="009D366C"/>
    <w:rsid w:val="009D39BD"/>
    <w:rsid w:val="009D3CE5"/>
    <w:rsid w:val="009D4147"/>
    <w:rsid w:val="009D4CB3"/>
    <w:rsid w:val="009D50A5"/>
    <w:rsid w:val="009D574F"/>
    <w:rsid w:val="009D57AC"/>
    <w:rsid w:val="009D79D3"/>
    <w:rsid w:val="009D7A5B"/>
    <w:rsid w:val="009E01F7"/>
    <w:rsid w:val="009E09C4"/>
    <w:rsid w:val="009E222E"/>
    <w:rsid w:val="009E30AA"/>
    <w:rsid w:val="009E310C"/>
    <w:rsid w:val="009E36C0"/>
    <w:rsid w:val="009E389F"/>
    <w:rsid w:val="009E38CA"/>
    <w:rsid w:val="009E3E95"/>
    <w:rsid w:val="009E47E4"/>
    <w:rsid w:val="009E493D"/>
    <w:rsid w:val="009E4C57"/>
    <w:rsid w:val="009E633B"/>
    <w:rsid w:val="009E6AA6"/>
    <w:rsid w:val="009E701F"/>
    <w:rsid w:val="009F0A29"/>
    <w:rsid w:val="009F0E0F"/>
    <w:rsid w:val="009F11CB"/>
    <w:rsid w:val="009F13AA"/>
    <w:rsid w:val="009F2CDC"/>
    <w:rsid w:val="009F3282"/>
    <w:rsid w:val="009F401A"/>
    <w:rsid w:val="009F4469"/>
    <w:rsid w:val="009F4930"/>
    <w:rsid w:val="009F4BCD"/>
    <w:rsid w:val="009F57E9"/>
    <w:rsid w:val="009F5B84"/>
    <w:rsid w:val="009F6427"/>
    <w:rsid w:val="009F692B"/>
    <w:rsid w:val="009F7466"/>
    <w:rsid w:val="009F7CB7"/>
    <w:rsid w:val="00A00668"/>
    <w:rsid w:val="00A009F2"/>
    <w:rsid w:val="00A00A0A"/>
    <w:rsid w:val="00A01EA7"/>
    <w:rsid w:val="00A01FE9"/>
    <w:rsid w:val="00A02050"/>
    <w:rsid w:val="00A0213A"/>
    <w:rsid w:val="00A026B5"/>
    <w:rsid w:val="00A02D90"/>
    <w:rsid w:val="00A0438E"/>
    <w:rsid w:val="00A0623D"/>
    <w:rsid w:val="00A0790E"/>
    <w:rsid w:val="00A07CBE"/>
    <w:rsid w:val="00A10220"/>
    <w:rsid w:val="00A10F07"/>
    <w:rsid w:val="00A11154"/>
    <w:rsid w:val="00A114F1"/>
    <w:rsid w:val="00A11BD7"/>
    <w:rsid w:val="00A121F4"/>
    <w:rsid w:val="00A12A3E"/>
    <w:rsid w:val="00A12FB7"/>
    <w:rsid w:val="00A137B4"/>
    <w:rsid w:val="00A139B6"/>
    <w:rsid w:val="00A140CE"/>
    <w:rsid w:val="00A1522B"/>
    <w:rsid w:val="00A156AB"/>
    <w:rsid w:val="00A15BA2"/>
    <w:rsid w:val="00A16B55"/>
    <w:rsid w:val="00A17387"/>
    <w:rsid w:val="00A17439"/>
    <w:rsid w:val="00A17BF8"/>
    <w:rsid w:val="00A20045"/>
    <w:rsid w:val="00A21932"/>
    <w:rsid w:val="00A236AE"/>
    <w:rsid w:val="00A24AAA"/>
    <w:rsid w:val="00A24F75"/>
    <w:rsid w:val="00A2527D"/>
    <w:rsid w:val="00A30960"/>
    <w:rsid w:val="00A320B6"/>
    <w:rsid w:val="00A33EDF"/>
    <w:rsid w:val="00A34087"/>
    <w:rsid w:val="00A340A6"/>
    <w:rsid w:val="00A34F89"/>
    <w:rsid w:val="00A35308"/>
    <w:rsid w:val="00A35537"/>
    <w:rsid w:val="00A359CD"/>
    <w:rsid w:val="00A35B06"/>
    <w:rsid w:val="00A35EC5"/>
    <w:rsid w:val="00A3602D"/>
    <w:rsid w:val="00A3766D"/>
    <w:rsid w:val="00A40032"/>
    <w:rsid w:val="00A406DF"/>
    <w:rsid w:val="00A4090F"/>
    <w:rsid w:val="00A40E58"/>
    <w:rsid w:val="00A419A2"/>
    <w:rsid w:val="00A42C5F"/>
    <w:rsid w:val="00A42E50"/>
    <w:rsid w:val="00A433A3"/>
    <w:rsid w:val="00A43601"/>
    <w:rsid w:val="00A436CA"/>
    <w:rsid w:val="00A438F9"/>
    <w:rsid w:val="00A43F47"/>
    <w:rsid w:val="00A44F12"/>
    <w:rsid w:val="00A454B6"/>
    <w:rsid w:val="00A45798"/>
    <w:rsid w:val="00A45E6A"/>
    <w:rsid w:val="00A46582"/>
    <w:rsid w:val="00A46C73"/>
    <w:rsid w:val="00A4776B"/>
    <w:rsid w:val="00A502A2"/>
    <w:rsid w:val="00A50CBB"/>
    <w:rsid w:val="00A51205"/>
    <w:rsid w:val="00A51308"/>
    <w:rsid w:val="00A517F6"/>
    <w:rsid w:val="00A522EB"/>
    <w:rsid w:val="00A5376D"/>
    <w:rsid w:val="00A54949"/>
    <w:rsid w:val="00A54BDB"/>
    <w:rsid w:val="00A552DD"/>
    <w:rsid w:val="00A5589A"/>
    <w:rsid w:val="00A56623"/>
    <w:rsid w:val="00A6047B"/>
    <w:rsid w:val="00A605F6"/>
    <w:rsid w:val="00A60C5A"/>
    <w:rsid w:val="00A611A6"/>
    <w:rsid w:val="00A621D8"/>
    <w:rsid w:val="00A63FEE"/>
    <w:rsid w:val="00A64496"/>
    <w:rsid w:val="00A6469D"/>
    <w:rsid w:val="00A646B9"/>
    <w:rsid w:val="00A64E83"/>
    <w:rsid w:val="00A66683"/>
    <w:rsid w:val="00A67E6E"/>
    <w:rsid w:val="00A70D4B"/>
    <w:rsid w:val="00A72B09"/>
    <w:rsid w:val="00A732E8"/>
    <w:rsid w:val="00A7456C"/>
    <w:rsid w:val="00A75482"/>
    <w:rsid w:val="00A757A3"/>
    <w:rsid w:val="00A760AE"/>
    <w:rsid w:val="00A76244"/>
    <w:rsid w:val="00A80A61"/>
    <w:rsid w:val="00A829D5"/>
    <w:rsid w:val="00A82BCD"/>
    <w:rsid w:val="00A82EEA"/>
    <w:rsid w:val="00A8385B"/>
    <w:rsid w:val="00A8533B"/>
    <w:rsid w:val="00A8615A"/>
    <w:rsid w:val="00A86277"/>
    <w:rsid w:val="00A8738A"/>
    <w:rsid w:val="00A87A99"/>
    <w:rsid w:val="00A87DC4"/>
    <w:rsid w:val="00A9076D"/>
    <w:rsid w:val="00A9088F"/>
    <w:rsid w:val="00A914AA"/>
    <w:rsid w:val="00A91B5F"/>
    <w:rsid w:val="00A93FCB"/>
    <w:rsid w:val="00A95114"/>
    <w:rsid w:val="00A951A5"/>
    <w:rsid w:val="00A9542C"/>
    <w:rsid w:val="00A957D1"/>
    <w:rsid w:val="00A95F66"/>
    <w:rsid w:val="00A96C6A"/>
    <w:rsid w:val="00A976DB"/>
    <w:rsid w:val="00A978A7"/>
    <w:rsid w:val="00AA0468"/>
    <w:rsid w:val="00AA1F57"/>
    <w:rsid w:val="00AA258B"/>
    <w:rsid w:val="00AA3A47"/>
    <w:rsid w:val="00AA424D"/>
    <w:rsid w:val="00AA4297"/>
    <w:rsid w:val="00AA468A"/>
    <w:rsid w:val="00AA4EA3"/>
    <w:rsid w:val="00AA6242"/>
    <w:rsid w:val="00AA63AF"/>
    <w:rsid w:val="00AA7278"/>
    <w:rsid w:val="00AB02EB"/>
    <w:rsid w:val="00AB07F6"/>
    <w:rsid w:val="00AB0E7F"/>
    <w:rsid w:val="00AB314F"/>
    <w:rsid w:val="00AB4116"/>
    <w:rsid w:val="00AB4149"/>
    <w:rsid w:val="00AB480D"/>
    <w:rsid w:val="00AB4A26"/>
    <w:rsid w:val="00AB4D11"/>
    <w:rsid w:val="00AB4E76"/>
    <w:rsid w:val="00AB4F9C"/>
    <w:rsid w:val="00AB5115"/>
    <w:rsid w:val="00AB56A1"/>
    <w:rsid w:val="00AB5744"/>
    <w:rsid w:val="00AB7B02"/>
    <w:rsid w:val="00AC11C2"/>
    <w:rsid w:val="00AC16E6"/>
    <w:rsid w:val="00AC1EFE"/>
    <w:rsid w:val="00AC2873"/>
    <w:rsid w:val="00AC2E9E"/>
    <w:rsid w:val="00AC395E"/>
    <w:rsid w:val="00AC4988"/>
    <w:rsid w:val="00AC5D70"/>
    <w:rsid w:val="00AC73A7"/>
    <w:rsid w:val="00AD00AA"/>
    <w:rsid w:val="00AD030C"/>
    <w:rsid w:val="00AD1739"/>
    <w:rsid w:val="00AD1B46"/>
    <w:rsid w:val="00AD2423"/>
    <w:rsid w:val="00AD25C1"/>
    <w:rsid w:val="00AD5946"/>
    <w:rsid w:val="00AD5F2C"/>
    <w:rsid w:val="00AD6F4B"/>
    <w:rsid w:val="00AD75F3"/>
    <w:rsid w:val="00AE0278"/>
    <w:rsid w:val="00AE3640"/>
    <w:rsid w:val="00AE4643"/>
    <w:rsid w:val="00AE4757"/>
    <w:rsid w:val="00AE598F"/>
    <w:rsid w:val="00AE5B76"/>
    <w:rsid w:val="00AE5B8A"/>
    <w:rsid w:val="00AE5EC4"/>
    <w:rsid w:val="00AE63A5"/>
    <w:rsid w:val="00AE680F"/>
    <w:rsid w:val="00AE7877"/>
    <w:rsid w:val="00AF03D0"/>
    <w:rsid w:val="00AF0612"/>
    <w:rsid w:val="00AF1026"/>
    <w:rsid w:val="00AF124E"/>
    <w:rsid w:val="00AF2493"/>
    <w:rsid w:val="00AF2524"/>
    <w:rsid w:val="00AF37EC"/>
    <w:rsid w:val="00AF5310"/>
    <w:rsid w:val="00AF63E6"/>
    <w:rsid w:val="00AF6979"/>
    <w:rsid w:val="00B002D6"/>
    <w:rsid w:val="00B0153E"/>
    <w:rsid w:val="00B015E7"/>
    <w:rsid w:val="00B0223B"/>
    <w:rsid w:val="00B035B1"/>
    <w:rsid w:val="00B038C3"/>
    <w:rsid w:val="00B03DD6"/>
    <w:rsid w:val="00B0411B"/>
    <w:rsid w:val="00B04280"/>
    <w:rsid w:val="00B0486C"/>
    <w:rsid w:val="00B04AB3"/>
    <w:rsid w:val="00B056D6"/>
    <w:rsid w:val="00B05844"/>
    <w:rsid w:val="00B10FB0"/>
    <w:rsid w:val="00B11232"/>
    <w:rsid w:val="00B12935"/>
    <w:rsid w:val="00B12DCA"/>
    <w:rsid w:val="00B1385F"/>
    <w:rsid w:val="00B13D2F"/>
    <w:rsid w:val="00B13DE2"/>
    <w:rsid w:val="00B15BD6"/>
    <w:rsid w:val="00B1667D"/>
    <w:rsid w:val="00B166F1"/>
    <w:rsid w:val="00B16D32"/>
    <w:rsid w:val="00B178EE"/>
    <w:rsid w:val="00B17C6E"/>
    <w:rsid w:val="00B17C70"/>
    <w:rsid w:val="00B17D02"/>
    <w:rsid w:val="00B17FEF"/>
    <w:rsid w:val="00B21512"/>
    <w:rsid w:val="00B228A0"/>
    <w:rsid w:val="00B23059"/>
    <w:rsid w:val="00B236D1"/>
    <w:rsid w:val="00B23B69"/>
    <w:rsid w:val="00B23E55"/>
    <w:rsid w:val="00B24098"/>
    <w:rsid w:val="00B24158"/>
    <w:rsid w:val="00B249A7"/>
    <w:rsid w:val="00B25242"/>
    <w:rsid w:val="00B26CD3"/>
    <w:rsid w:val="00B30168"/>
    <w:rsid w:val="00B30B00"/>
    <w:rsid w:val="00B32086"/>
    <w:rsid w:val="00B33321"/>
    <w:rsid w:val="00B33855"/>
    <w:rsid w:val="00B36129"/>
    <w:rsid w:val="00B367C1"/>
    <w:rsid w:val="00B37D00"/>
    <w:rsid w:val="00B37EC5"/>
    <w:rsid w:val="00B4056A"/>
    <w:rsid w:val="00B40680"/>
    <w:rsid w:val="00B41029"/>
    <w:rsid w:val="00B41A24"/>
    <w:rsid w:val="00B42A52"/>
    <w:rsid w:val="00B42D33"/>
    <w:rsid w:val="00B43418"/>
    <w:rsid w:val="00B43B84"/>
    <w:rsid w:val="00B4405D"/>
    <w:rsid w:val="00B44125"/>
    <w:rsid w:val="00B455CE"/>
    <w:rsid w:val="00B45B4C"/>
    <w:rsid w:val="00B45FCE"/>
    <w:rsid w:val="00B46412"/>
    <w:rsid w:val="00B46581"/>
    <w:rsid w:val="00B4681A"/>
    <w:rsid w:val="00B50976"/>
    <w:rsid w:val="00B51CFD"/>
    <w:rsid w:val="00B52A25"/>
    <w:rsid w:val="00B54CE2"/>
    <w:rsid w:val="00B56259"/>
    <w:rsid w:val="00B56952"/>
    <w:rsid w:val="00B600BB"/>
    <w:rsid w:val="00B60512"/>
    <w:rsid w:val="00B60CDF"/>
    <w:rsid w:val="00B6141C"/>
    <w:rsid w:val="00B63DA4"/>
    <w:rsid w:val="00B64200"/>
    <w:rsid w:val="00B64B72"/>
    <w:rsid w:val="00B66737"/>
    <w:rsid w:val="00B70B55"/>
    <w:rsid w:val="00B712D6"/>
    <w:rsid w:val="00B71597"/>
    <w:rsid w:val="00B730D1"/>
    <w:rsid w:val="00B73903"/>
    <w:rsid w:val="00B73FBA"/>
    <w:rsid w:val="00B7408C"/>
    <w:rsid w:val="00B7431E"/>
    <w:rsid w:val="00B761A9"/>
    <w:rsid w:val="00B773CD"/>
    <w:rsid w:val="00B800A2"/>
    <w:rsid w:val="00B80836"/>
    <w:rsid w:val="00B80A5F"/>
    <w:rsid w:val="00B81F79"/>
    <w:rsid w:val="00B839C3"/>
    <w:rsid w:val="00B84891"/>
    <w:rsid w:val="00B84AD0"/>
    <w:rsid w:val="00B855C0"/>
    <w:rsid w:val="00B8619B"/>
    <w:rsid w:val="00B86BCB"/>
    <w:rsid w:val="00B902E3"/>
    <w:rsid w:val="00B91B5D"/>
    <w:rsid w:val="00B91E78"/>
    <w:rsid w:val="00B931DA"/>
    <w:rsid w:val="00B933E6"/>
    <w:rsid w:val="00B94CFD"/>
    <w:rsid w:val="00B95765"/>
    <w:rsid w:val="00B95B58"/>
    <w:rsid w:val="00B964F5"/>
    <w:rsid w:val="00B96907"/>
    <w:rsid w:val="00B97635"/>
    <w:rsid w:val="00BA03F7"/>
    <w:rsid w:val="00BA1958"/>
    <w:rsid w:val="00BA229F"/>
    <w:rsid w:val="00BA2E04"/>
    <w:rsid w:val="00BA3FBD"/>
    <w:rsid w:val="00BA512B"/>
    <w:rsid w:val="00BA5E9E"/>
    <w:rsid w:val="00BA68B9"/>
    <w:rsid w:val="00BA69F8"/>
    <w:rsid w:val="00BA6C2E"/>
    <w:rsid w:val="00BA7770"/>
    <w:rsid w:val="00BA78EB"/>
    <w:rsid w:val="00BA7B03"/>
    <w:rsid w:val="00BA7E4D"/>
    <w:rsid w:val="00BB040D"/>
    <w:rsid w:val="00BB09A6"/>
    <w:rsid w:val="00BB1168"/>
    <w:rsid w:val="00BB1AD1"/>
    <w:rsid w:val="00BB26A2"/>
    <w:rsid w:val="00BB316B"/>
    <w:rsid w:val="00BB34D4"/>
    <w:rsid w:val="00BB5911"/>
    <w:rsid w:val="00BB69D3"/>
    <w:rsid w:val="00BB6C51"/>
    <w:rsid w:val="00BC0C84"/>
    <w:rsid w:val="00BC0E75"/>
    <w:rsid w:val="00BC0EEB"/>
    <w:rsid w:val="00BC25FC"/>
    <w:rsid w:val="00BC2CF7"/>
    <w:rsid w:val="00BC2D9F"/>
    <w:rsid w:val="00BC2F90"/>
    <w:rsid w:val="00BC300C"/>
    <w:rsid w:val="00BC3586"/>
    <w:rsid w:val="00BC3A30"/>
    <w:rsid w:val="00BC549B"/>
    <w:rsid w:val="00BC731A"/>
    <w:rsid w:val="00BC7A02"/>
    <w:rsid w:val="00BD0EC7"/>
    <w:rsid w:val="00BD20E5"/>
    <w:rsid w:val="00BD3B49"/>
    <w:rsid w:val="00BD3B7F"/>
    <w:rsid w:val="00BD3C77"/>
    <w:rsid w:val="00BD3FE7"/>
    <w:rsid w:val="00BD42B7"/>
    <w:rsid w:val="00BD442D"/>
    <w:rsid w:val="00BD4AD9"/>
    <w:rsid w:val="00BD5812"/>
    <w:rsid w:val="00BD5951"/>
    <w:rsid w:val="00BD5B86"/>
    <w:rsid w:val="00BD636C"/>
    <w:rsid w:val="00BD6863"/>
    <w:rsid w:val="00BD6C47"/>
    <w:rsid w:val="00BD6F8B"/>
    <w:rsid w:val="00BD716A"/>
    <w:rsid w:val="00BE011B"/>
    <w:rsid w:val="00BE0F12"/>
    <w:rsid w:val="00BE2679"/>
    <w:rsid w:val="00BE298C"/>
    <w:rsid w:val="00BE35C8"/>
    <w:rsid w:val="00BE3DE8"/>
    <w:rsid w:val="00BE3EF8"/>
    <w:rsid w:val="00BE40E5"/>
    <w:rsid w:val="00BE4331"/>
    <w:rsid w:val="00BE46F7"/>
    <w:rsid w:val="00BE51CC"/>
    <w:rsid w:val="00BE5996"/>
    <w:rsid w:val="00BE5DAE"/>
    <w:rsid w:val="00BE6313"/>
    <w:rsid w:val="00BE655B"/>
    <w:rsid w:val="00BE7045"/>
    <w:rsid w:val="00BE75B1"/>
    <w:rsid w:val="00BE761E"/>
    <w:rsid w:val="00BE7F4A"/>
    <w:rsid w:val="00BF0796"/>
    <w:rsid w:val="00BF0F13"/>
    <w:rsid w:val="00BF13FC"/>
    <w:rsid w:val="00BF16DB"/>
    <w:rsid w:val="00BF267D"/>
    <w:rsid w:val="00BF4492"/>
    <w:rsid w:val="00BF452E"/>
    <w:rsid w:val="00BF4C6E"/>
    <w:rsid w:val="00BF55D3"/>
    <w:rsid w:val="00BF5BDA"/>
    <w:rsid w:val="00BF6C5A"/>
    <w:rsid w:val="00C00516"/>
    <w:rsid w:val="00C00EC0"/>
    <w:rsid w:val="00C0250A"/>
    <w:rsid w:val="00C0282D"/>
    <w:rsid w:val="00C033F5"/>
    <w:rsid w:val="00C03C11"/>
    <w:rsid w:val="00C03F45"/>
    <w:rsid w:val="00C046A9"/>
    <w:rsid w:val="00C05286"/>
    <w:rsid w:val="00C057D9"/>
    <w:rsid w:val="00C05E50"/>
    <w:rsid w:val="00C077D0"/>
    <w:rsid w:val="00C10CFD"/>
    <w:rsid w:val="00C12F48"/>
    <w:rsid w:val="00C13162"/>
    <w:rsid w:val="00C13245"/>
    <w:rsid w:val="00C13582"/>
    <w:rsid w:val="00C15367"/>
    <w:rsid w:val="00C16423"/>
    <w:rsid w:val="00C1708E"/>
    <w:rsid w:val="00C175D6"/>
    <w:rsid w:val="00C176ED"/>
    <w:rsid w:val="00C178D0"/>
    <w:rsid w:val="00C20F2F"/>
    <w:rsid w:val="00C214BB"/>
    <w:rsid w:val="00C21C6A"/>
    <w:rsid w:val="00C2235B"/>
    <w:rsid w:val="00C22540"/>
    <w:rsid w:val="00C22879"/>
    <w:rsid w:val="00C22DAB"/>
    <w:rsid w:val="00C2311A"/>
    <w:rsid w:val="00C24645"/>
    <w:rsid w:val="00C251AA"/>
    <w:rsid w:val="00C25355"/>
    <w:rsid w:val="00C254BE"/>
    <w:rsid w:val="00C25729"/>
    <w:rsid w:val="00C263B2"/>
    <w:rsid w:val="00C26E70"/>
    <w:rsid w:val="00C270B6"/>
    <w:rsid w:val="00C27821"/>
    <w:rsid w:val="00C27B37"/>
    <w:rsid w:val="00C27D25"/>
    <w:rsid w:val="00C27FF7"/>
    <w:rsid w:val="00C309BD"/>
    <w:rsid w:val="00C3258F"/>
    <w:rsid w:val="00C331E1"/>
    <w:rsid w:val="00C33FCA"/>
    <w:rsid w:val="00C34ECC"/>
    <w:rsid w:val="00C40A3B"/>
    <w:rsid w:val="00C411A6"/>
    <w:rsid w:val="00C4177C"/>
    <w:rsid w:val="00C423EA"/>
    <w:rsid w:val="00C42555"/>
    <w:rsid w:val="00C42B04"/>
    <w:rsid w:val="00C42B07"/>
    <w:rsid w:val="00C4302C"/>
    <w:rsid w:val="00C46BA1"/>
    <w:rsid w:val="00C47152"/>
    <w:rsid w:val="00C473B9"/>
    <w:rsid w:val="00C50103"/>
    <w:rsid w:val="00C50ED8"/>
    <w:rsid w:val="00C514AF"/>
    <w:rsid w:val="00C51519"/>
    <w:rsid w:val="00C51768"/>
    <w:rsid w:val="00C51FDF"/>
    <w:rsid w:val="00C536B0"/>
    <w:rsid w:val="00C54ADB"/>
    <w:rsid w:val="00C55A6C"/>
    <w:rsid w:val="00C579EB"/>
    <w:rsid w:val="00C57F3A"/>
    <w:rsid w:val="00C607DD"/>
    <w:rsid w:val="00C61B2A"/>
    <w:rsid w:val="00C62BA3"/>
    <w:rsid w:val="00C6443C"/>
    <w:rsid w:val="00C64AEB"/>
    <w:rsid w:val="00C65C32"/>
    <w:rsid w:val="00C66FEF"/>
    <w:rsid w:val="00C67D2E"/>
    <w:rsid w:val="00C71BC9"/>
    <w:rsid w:val="00C71E20"/>
    <w:rsid w:val="00C73858"/>
    <w:rsid w:val="00C74205"/>
    <w:rsid w:val="00C7469E"/>
    <w:rsid w:val="00C74850"/>
    <w:rsid w:val="00C754C0"/>
    <w:rsid w:val="00C759B7"/>
    <w:rsid w:val="00C75B61"/>
    <w:rsid w:val="00C75CBE"/>
    <w:rsid w:val="00C7680E"/>
    <w:rsid w:val="00C76BAD"/>
    <w:rsid w:val="00C76EE8"/>
    <w:rsid w:val="00C77662"/>
    <w:rsid w:val="00C80CBE"/>
    <w:rsid w:val="00C81242"/>
    <w:rsid w:val="00C81AB8"/>
    <w:rsid w:val="00C82C97"/>
    <w:rsid w:val="00C84C44"/>
    <w:rsid w:val="00C84CEB"/>
    <w:rsid w:val="00C85062"/>
    <w:rsid w:val="00C85C29"/>
    <w:rsid w:val="00C85F5D"/>
    <w:rsid w:val="00C87ACF"/>
    <w:rsid w:val="00C9185F"/>
    <w:rsid w:val="00C91A6A"/>
    <w:rsid w:val="00C92258"/>
    <w:rsid w:val="00C923AF"/>
    <w:rsid w:val="00C92CD1"/>
    <w:rsid w:val="00C93EA1"/>
    <w:rsid w:val="00C94404"/>
    <w:rsid w:val="00C9465E"/>
    <w:rsid w:val="00C95804"/>
    <w:rsid w:val="00C95A0B"/>
    <w:rsid w:val="00C96BCC"/>
    <w:rsid w:val="00C97E85"/>
    <w:rsid w:val="00CA01D9"/>
    <w:rsid w:val="00CA06E9"/>
    <w:rsid w:val="00CA0D2F"/>
    <w:rsid w:val="00CA14DD"/>
    <w:rsid w:val="00CA157A"/>
    <w:rsid w:val="00CA1D87"/>
    <w:rsid w:val="00CA262F"/>
    <w:rsid w:val="00CA3EBD"/>
    <w:rsid w:val="00CA40F8"/>
    <w:rsid w:val="00CA4180"/>
    <w:rsid w:val="00CA41E1"/>
    <w:rsid w:val="00CA477B"/>
    <w:rsid w:val="00CA60CB"/>
    <w:rsid w:val="00CA670A"/>
    <w:rsid w:val="00CA6C09"/>
    <w:rsid w:val="00CA6DD9"/>
    <w:rsid w:val="00CA6F25"/>
    <w:rsid w:val="00CA70BB"/>
    <w:rsid w:val="00CA74B5"/>
    <w:rsid w:val="00CA7813"/>
    <w:rsid w:val="00CB0AB6"/>
    <w:rsid w:val="00CB0B38"/>
    <w:rsid w:val="00CB304F"/>
    <w:rsid w:val="00CB3730"/>
    <w:rsid w:val="00CB4394"/>
    <w:rsid w:val="00CB5F17"/>
    <w:rsid w:val="00CB66E2"/>
    <w:rsid w:val="00CB7239"/>
    <w:rsid w:val="00CC0112"/>
    <w:rsid w:val="00CC161B"/>
    <w:rsid w:val="00CC200B"/>
    <w:rsid w:val="00CC2237"/>
    <w:rsid w:val="00CC26C1"/>
    <w:rsid w:val="00CC2F42"/>
    <w:rsid w:val="00CC35CC"/>
    <w:rsid w:val="00CC4284"/>
    <w:rsid w:val="00CC5740"/>
    <w:rsid w:val="00CC6D7F"/>
    <w:rsid w:val="00CC6EE8"/>
    <w:rsid w:val="00CD0932"/>
    <w:rsid w:val="00CD1216"/>
    <w:rsid w:val="00CD2988"/>
    <w:rsid w:val="00CD3097"/>
    <w:rsid w:val="00CD3E5E"/>
    <w:rsid w:val="00CD52B7"/>
    <w:rsid w:val="00CD699A"/>
    <w:rsid w:val="00CD7D22"/>
    <w:rsid w:val="00CE0B5D"/>
    <w:rsid w:val="00CE16A5"/>
    <w:rsid w:val="00CE2989"/>
    <w:rsid w:val="00CE36DA"/>
    <w:rsid w:val="00CE36FD"/>
    <w:rsid w:val="00CE376B"/>
    <w:rsid w:val="00CE3C15"/>
    <w:rsid w:val="00CE3DF8"/>
    <w:rsid w:val="00CE3E14"/>
    <w:rsid w:val="00CE420E"/>
    <w:rsid w:val="00CE4278"/>
    <w:rsid w:val="00CE469E"/>
    <w:rsid w:val="00CE4DAB"/>
    <w:rsid w:val="00CE4EE3"/>
    <w:rsid w:val="00CE4FB4"/>
    <w:rsid w:val="00CE733D"/>
    <w:rsid w:val="00CE747A"/>
    <w:rsid w:val="00CF0681"/>
    <w:rsid w:val="00CF2B3D"/>
    <w:rsid w:val="00CF2B9A"/>
    <w:rsid w:val="00CF30BB"/>
    <w:rsid w:val="00CF339E"/>
    <w:rsid w:val="00CF4E9A"/>
    <w:rsid w:val="00CF52EB"/>
    <w:rsid w:val="00CF5748"/>
    <w:rsid w:val="00CF5D2D"/>
    <w:rsid w:val="00CF6D69"/>
    <w:rsid w:val="00CF6E4B"/>
    <w:rsid w:val="00CF7673"/>
    <w:rsid w:val="00CF76C6"/>
    <w:rsid w:val="00CF7775"/>
    <w:rsid w:val="00CF77E1"/>
    <w:rsid w:val="00D0034E"/>
    <w:rsid w:val="00D0086A"/>
    <w:rsid w:val="00D00C92"/>
    <w:rsid w:val="00D013B1"/>
    <w:rsid w:val="00D01CC4"/>
    <w:rsid w:val="00D0299F"/>
    <w:rsid w:val="00D02F6B"/>
    <w:rsid w:val="00D04582"/>
    <w:rsid w:val="00D05051"/>
    <w:rsid w:val="00D050D6"/>
    <w:rsid w:val="00D05891"/>
    <w:rsid w:val="00D0595B"/>
    <w:rsid w:val="00D06975"/>
    <w:rsid w:val="00D06E83"/>
    <w:rsid w:val="00D1146F"/>
    <w:rsid w:val="00D11780"/>
    <w:rsid w:val="00D11CC4"/>
    <w:rsid w:val="00D13485"/>
    <w:rsid w:val="00D13540"/>
    <w:rsid w:val="00D142E7"/>
    <w:rsid w:val="00D1482E"/>
    <w:rsid w:val="00D1486E"/>
    <w:rsid w:val="00D15048"/>
    <w:rsid w:val="00D1519E"/>
    <w:rsid w:val="00D15F98"/>
    <w:rsid w:val="00D16164"/>
    <w:rsid w:val="00D16785"/>
    <w:rsid w:val="00D16B2D"/>
    <w:rsid w:val="00D17A94"/>
    <w:rsid w:val="00D17B8D"/>
    <w:rsid w:val="00D206A4"/>
    <w:rsid w:val="00D211E3"/>
    <w:rsid w:val="00D2205A"/>
    <w:rsid w:val="00D2314D"/>
    <w:rsid w:val="00D2377B"/>
    <w:rsid w:val="00D23795"/>
    <w:rsid w:val="00D23844"/>
    <w:rsid w:val="00D243EA"/>
    <w:rsid w:val="00D2646D"/>
    <w:rsid w:val="00D303EE"/>
    <w:rsid w:val="00D317D9"/>
    <w:rsid w:val="00D32BDD"/>
    <w:rsid w:val="00D33620"/>
    <w:rsid w:val="00D34811"/>
    <w:rsid w:val="00D34D76"/>
    <w:rsid w:val="00D365D3"/>
    <w:rsid w:val="00D41367"/>
    <w:rsid w:val="00D422CE"/>
    <w:rsid w:val="00D424C5"/>
    <w:rsid w:val="00D42F7B"/>
    <w:rsid w:val="00D44068"/>
    <w:rsid w:val="00D4508F"/>
    <w:rsid w:val="00D454FE"/>
    <w:rsid w:val="00D4594A"/>
    <w:rsid w:val="00D45AB0"/>
    <w:rsid w:val="00D46066"/>
    <w:rsid w:val="00D46472"/>
    <w:rsid w:val="00D4689D"/>
    <w:rsid w:val="00D4717A"/>
    <w:rsid w:val="00D473A9"/>
    <w:rsid w:val="00D50EC1"/>
    <w:rsid w:val="00D533BC"/>
    <w:rsid w:val="00D533EB"/>
    <w:rsid w:val="00D5386D"/>
    <w:rsid w:val="00D53A88"/>
    <w:rsid w:val="00D55F48"/>
    <w:rsid w:val="00D560D4"/>
    <w:rsid w:val="00D56FCF"/>
    <w:rsid w:val="00D571FA"/>
    <w:rsid w:val="00D576D2"/>
    <w:rsid w:val="00D57CBE"/>
    <w:rsid w:val="00D60D07"/>
    <w:rsid w:val="00D61305"/>
    <w:rsid w:val="00D61C3C"/>
    <w:rsid w:val="00D6279C"/>
    <w:rsid w:val="00D634D6"/>
    <w:rsid w:val="00D63599"/>
    <w:rsid w:val="00D64720"/>
    <w:rsid w:val="00D64A0F"/>
    <w:rsid w:val="00D64AB3"/>
    <w:rsid w:val="00D66B1C"/>
    <w:rsid w:val="00D66B21"/>
    <w:rsid w:val="00D71433"/>
    <w:rsid w:val="00D7176A"/>
    <w:rsid w:val="00D71C54"/>
    <w:rsid w:val="00D72C01"/>
    <w:rsid w:val="00D736AD"/>
    <w:rsid w:val="00D73A34"/>
    <w:rsid w:val="00D73DED"/>
    <w:rsid w:val="00D73F00"/>
    <w:rsid w:val="00D74093"/>
    <w:rsid w:val="00D74B0B"/>
    <w:rsid w:val="00D74FED"/>
    <w:rsid w:val="00D77EB0"/>
    <w:rsid w:val="00D8058E"/>
    <w:rsid w:val="00D80F69"/>
    <w:rsid w:val="00D8201A"/>
    <w:rsid w:val="00D8254B"/>
    <w:rsid w:val="00D82E58"/>
    <w:rsid w:val="00D8376F"/>
    <w:rsid w:val="00D83B7A"/>
    <w:rsid w:val="00D83BB0"/>
    <w:rsid w:val="00D848B3"/>
    <w:rsid w:val="00D85316"/>
    <w:rsid w:val="00D87B49"/>
    <w:rsid w:val="00D90019"/>
    <w:rsid w:val="00D9073B"/>
    <w:rsid w:val="00D93010"/>
    <w:rsid w:val="00D941D1"/>
    <w:rsid w:val="00D965B7"/>
    <w:rsid w:val="00D96E7D"/>
    <w:rsid w:val="00D9762D"/>
    <w:rsid w:val="00D978C5"/>
    <w:rsid w:val="00D9790B"/>
    <w:rsid w:val="00DA0271"/>
    <w:rsid w:val="00DA0401"/>
    <w:rsid w:val="00DA040F"/>
    <w:rsid w:val="00DA08E9"/>
    <w:rsid w:val="00DA2035"/>
    <w:rsid w:val="00DA22B0"/>
    <w:rsid w:val="00DA343D"/>
    <w:rsid w:val="00DA4FE9"/>
    <w:rsid w:val="00DA571C"/>
    <w:rsid w:val="00DA5F52"/>
    <w:rsid w:val="00DA6993"/>
    <w:rsid w:val="00DB0787"/>
    <w:rsid w:val="00DB1CC9"/>
    <w:rsid w:val="00DB1F54"/>
    <w:rsid w:val="00DB27DE"/>
    <w:rsid w:val="00DB2E7A"/>
    <w:rsid w:val="00DB2F75"/>
    <w:rsid w:val="00DB35B2"/>
    <w:rsid w:val="00DB3C85"/>
    <w:rsid w:val="00DB3E84"/>
    <w:rsid w:val="00DB4BAF"/>
    <w:rsid w:val="00DB530D"/>
    <w:rsid w:val="00DB5745"/>
    <w:rsid w:val="00DB58D5"/>
    <w:rsid w:val="00DB648F"/>
    <w:rsid w:val="00DB6610"/>
    <w:rsid w:val="00DB6A58"/>
    <w:rsid w:val="00DB6A68"/>
    <w:rsid w:val="00DB7653"/>
    <w:rsid w:val="00DC2DC5"/>
    <w:rsid w:val="00DC34E6"/>
    <w:rsid w:val="00DC3CAF"/>
    <w:rsid w:val="00DC3E8E"/>
    <w:rsid w:val="00DC5D5A"/>
    <w:rsid w:val="00DC691C"/>
    <w:rsid w:val="00DC6C23"/>
    <w:rsid w:val="00DC710D"/>
    <w:rsid w:val="00DD0159"/>
    <w:rsid w:val="00DD0DF2"/>
    <w:rsid w:val="00DD1169"/>
    <w:rsid w:val="00DD14D8"/>
    <w:rsid w:val="00DD1CA0"/>
    <w:rsid w:val="00DD2624"/>
    <w:rsid w:val="00DD350C"/>
    <w:rsid w:val="00DD36C7"/>
    <w:rsid w:val="00DD4484"/>
    <w:rsid w:val="00DD5016"/>
    <w:rsid w:val="00DD5402"/>
    <w:rsid w:val="00DD54D9"/>
    <w:rsid w:val="00DD5949"/>
    <w:rsid w:val="00DD5B09"/>
    <w:rsid w:val="00DD5C74"/>
    <w:rsid w:val="00DD6F8D"/>
    <w:rsid w:val="00DD70D8"/>
    <w:rsid w:val="00DD71C6"/>
    <w:rsid w:val="00DD7762"/>
    <w:rsid w:val="00DD77C9"/>
    <w:rsid w:val="00DD7D2F"/>
    <w:rsid w:val="00DE0EB4"/>
    <w:rsid w:val="00DE1BAF"/>
    <w:rsid w:val="00DE20D5"/>
    <w:rsid w:val="00DE29A3"/>
    <w:rsid w:val="00DE2E0C"/>
    <w:rsid w:val="00DE2EE3"/>
    <w:rsid w:val="00DE31F2"/>
    <w:rsid w:val="00DE37EF"/>
    <w:rsid w:val="00DE4259"/>
    <w:rsid w:val="00DE4DF8"/>
    <w:rsid w:val="00DE55EC"/>
    <w:rsid w:val="00DE56C1"/>
    <w:rsid w:val="00DE7DDF"/>
    <w:rsid w:val="00DE7F3B"/>
    <w:rsid w:val="00DF04A8"/>
    <w:rsid w:val="00DF058A"/>
    <w:rsid w:val="00DF295C"/>
    <w:rsid w:val="00DF2D9D"/>
    <w:rsid w:val="00DF318F"/>
    <w:rsid w:val="00DF38B4"/>
    <w:rsid w:val="00DF3B41"/>
    <w:rsid w:val="00DF3DD4"/>
    <w:rsid w:val="00DF4F12"/>
    <w:rsid w:val="00DF573A"/>
    <w:rsid w:val="00DF60CD"/>
    <w:rsid w:val="00DF6362"/>
    <w:rsid w:val="00DF67EA"/>
    <w:rsid w:val="00DF6E6D"/>
    <w:rsid w:val="00DF7EAC"/>
    <w:rsid w:val="00DF7EF3"/>
    <w:rsid w:val="00E02312"/>
    <w:rsid w:val="00E025AE"/>
    <w:rsid w:val="00E02A88"/>
    <w:rsid w:val="00E033C8"/>
    <w:rsid w:val="00E03896"/>
    <w:rsid w:val="00E040A5"/>
    <w:rsid w:val="00E04CB0"/>
    <w:rsid w:val="00E05AB7"/>
    <w:rsid w:val="00E05B5A"/>
    <w:rsid w:val="00E06154"/>
    <w:rsid w:val="00E06CA7"/>
    <w:rsid w:val="00E0731B"/>
    <w:rsid w:val="00E10457"/>
    <w:rsid w:val="00E1107E"/>
    <w:rsid w:val="00E11393"/>
    <w:rsid w:val="00E11800"/>
    <w:rsid w:val="00E12121"/>
    <w:rsid w:val="00E12224"/>
    <w:rsid w:val="00E132D7"/>
    <w:rsid w:val="00E14B3A"/>
    <w:rsid w:val="00E151BE"/>
    <w:rsid w:val="00E16406"/>
    <w:rsid w:val="00E16639"/>
    <w:rsid w:val="00E17D6C"/>
    <w:rsid w:val="00E17FCB"/>
    <w:rsid w:val="00E21EEB"/>
    <w:rsid w:val="00E22288"/>
    <w:rsid w:val="00E22ABD"/>
    <w:rsid w:val="00E22D3B"/>
    <w:rsid w:val="00E230D6"/>
    <w:rsid w:val="00E23B10"/>
    <w:rsid w:val="00E25D67"/>
    <w:rsid w:val="00E2755E"/>
    <w:rsid w:val="00E27B85"/>
    <w:rsid w:val="00E312C2"/>
    <w:rsid w:val="00E31A26"/>
    <w:rsid w:val="00E31C4C"/>
    <w:rsid w:val="00E328E6"/>
    <w:rsid w:val="00E335C1"/>
    <w:rsid w:val="00E337E3"/>
    <w:rsid w:val="00E33C58"/>
    <w:rsid w:val="00E33C7D"/>
    <w:rsid w:val="00E34666"/>
    <w:rsid w:val="00E3661E"/>
    <w:rsid w:val="00E3673A"/>
    <w:rsid w:val="00E3736F"/>
    <w:rsid w:val="00E37E38"/>
    <w:rsid w:val="00E417CE"/>
    <w:rsid w:val="00E42E8D"/>
    <w:rsid w:val="00E43536"/>
    <w:rsid w:val="00E43D79"/>
    <w:rsid w:val="00E44095"/>
    <w:rsid w:val="00E453DE"/>
    <w:rsid w:val="00E45507"/>
    <w:rsid w:val="00E45F89"/>
    <w:rsid w:val="00E4600D"/>
    <w:rsid w:val="00E46E9C"/>
    <w:rsid w:val="00E47548"/>
    <w:rsid w:val="00E500B3"/>
    <w:rsid w:val="00E5038E"/>
    <w:rsid w:val="00E50EA7"/>
    <w:rsid w:val="00E51196"/>
    <w:rsid w:val="00E520E7"/>
    <w:rsid w:val="00E52A01"/>
    <w:rsid w:val="00E5490E"/>
    <w:rsid w:val="00E55759"/>
    <w:rsid w:val="00E56A61"/>
    <w:rsid w:val="00E5729E"/>
    <w:rsid w:val="00E60CB5"/>
    <w:rsid w:val="00E61399"/>
    <w:rsid w:val="00E614EA"/>
    <w:rsid w:val="00E61A2D"/>
    <w:rsid w:val="00E62BF8"/>
    <w:rsid w:val="00E62D77"/>
    <w:rsid w:val="00E63041"/>
    <w:rsid w:val="00E632FF"/>
    <w:rsid w:val="00E6388E"/>
    <w:rsid w:val="00E63D21"/>
    <w:rsid w:val="00E64459"/>
    <w:rsid w:val="00E649C5"/>
    <w:rsid w:val="00E64AF0"/>
    <w:rsid w:val="00E65BE3"/>
    <w:rsid w:val="00E677E6"/>
    <w:rsid w:val="00E67D58"/>
    <w:rsid w:val="00E67E9E"/>
    <w:rsid w:val="00E7040C"/>
    <w:rsid w:val="00E70721"/>
    <w:rsid w:val="00E70901"/>
    <w:rsid w:val="00E71433"/>
    <w:rsid w:val="00E73C85"/>
    <w:rsid w:val="00E73EBD"/>
    <w:rsid w:val="00E740EF"/>
    <w:rsid w:val="00E7473B"/>
    <w:rsid w:val="00E75318"/>
    <w:rsid w:val="00E76BBB"/>
    <w:rsid w:val="00E76CA3"/>
    <w:rsid w:val="00E77945"/>
    <w:rsid w:val="00E8072E"/>
    <w:rsid w:val="00E825BD"/>
    <w:rsid w:val="00E82F19"/>
    <w:rsid w:val="00E831CD"/>
    <w:rsid w:val="00E83BE5"/>
    <w:rsid w:val="00E84040"/>
    <w:rsid w:val="00E8408C"/>
    <w:rsid w:val="00E841CC"/>
    <w:rsid w:val="00E87F44"/>
    <w:rsid w:val="00E90194"/>
    <w:rsid w:val="00E90492"/>
    <w:rsid w:val="00E90DD2"/>
    <w:rsid w:val="00E9129E"/>
    <w:rsid w:val="00E91374"/>
    <w:rsid w:val="00E913E1"/>
    <w:rsid w:val="00E919AD"/>
    <w:rsid w:val="00E92A06"/>
    <w:rsid w:val="00E92BBE"/>
    <w:rsid w:val="00E9422E"/>
    <w:rsid w:val="00E94623"/>
    <w:rsid w:val="00E955B2"/>
    <w:rsid w:val="00E95A4C"/>
    <w:rsid w:val="00E95D7F"/>
    <w:rsid w:val="00E965EA"/>
    <w:rsid w:val="00E96816"/>
    <w:rsid w:val="00EA0380"/>
    <w:rsid w:val="00EA1ADF"/>
    <w:rsid w:val="00EA30C9"/>
    <w:rsid w:val="00EA4907"/>
    <w:rsid w:val="00EA4A63"/>
    <w:rsid w:val="00EA4DD1"/>
    <w:rsid w:val="00EA583B"/>
    <w:rsid w:val="00EA616A"/>
    <w:rsid w:val="00EA71AB"/>
    <w:rsid w:val="00EA76DA"/>
    <w:rsid w:val="00EA7A57"/>
    <w:rsid w:val="00EA7AC5"/>
    <w:rsid w:val="00EB060B"/>
    <w:rsid w:val="00EB1761"/>
    <w:rsid w:val="00EB2415"/>
    <w:rsid w:val="00EB26C0"/>
    <w:rsid w:val="00EB4D2C"/>
    <w:rsid w:val="00EB4D81"/>
    <w:rsid w:val="00EB547C"/>
    <w:rsid w:val="00EB5B1F"/>
    <w:rsid w:val="00EB5BB9"/>
    <w:rsid w:val="00EB6961"/>
    <w:rsid w:val="00EB7504"/>
    <w:rsid w:val="00EB7E08"/>
    <w:rsid w:val="00EB7FCD"/>
    <w:rsid w:val="00EC0392"/>
    <w:rsid w:val="00EC0C1F"/>
    <w:rsid w:val="00EC1178"/>
    <w:rsid w:val="00EC18BE"/>
    <w:rsid w:val="00EC4294"/>
    <w:rsid w:val="00EC43F6"/>
    <w:rsid w:val="00EC45C0"/>
    <w:rsid w:val="00EC4796"/>
    <w:rsid w:val="00EC65CA"/>
    <w:rsid w:val="00EC702F"/>
    <w:rsid w:val="00EC7887"/>
    <w:rsid w:val="00EC7B3E"/>
    <w:rsid w:val="00ED1AF2"/>
    <w:rsid w:val="00ED32C1"/>
    <w:rsid w:val="00ED36C1"/>
    <w:rsid w:val="00ED5916"/>
    <w:rsid w:val="00ED6060"/>
    <w:rsid w:val="00ED7123"/>
    <w:rsid w:val="00ED736E"/>
    <w:rsid w:val="00ED7B0E"/>
    <w:rsid w:val="00EE0465"/>
    <w:rsid w:val="00EE1301"/>
    <w:rsid w:val="00EE18DA"/>
    <w:rsid w:val="00EE295D"/>
    <w:rsid w:val="00EE37DF"/>
    <w:rsid w:val="00EE3ED2"/>
    <w:rsid w:val="00EE4F63"/>
    <w:rsid w:val="00EE523C"/>
    <w:rsid w:val="00EE5889"/>
    <w:rsid w:val="00EE59A5"/>
    <w:rsid w:val="00EE5C06"/>
    <w:rsid w:val="00EE770A"/>
    <w:rsid w:val="00EF00ED"/>
    <w:rsid w:val="00EF0309"/>
    <w:rsid w:val="00EF0B2A"/>
    <w:rsid w:val="00EF13E3"/>
    <w:rsid w:val="00EF1A09"/>
    <w:rsid w:val="00EF1B4B"/>
    <w:rsid w:val="00EF267F"/>
    <w:rsid w:val="00EF30C2"/>
    <w:rsid w:val="00EF319E"/>
    <w:rsid w:val="00EF3FE9"/>
    <w:rsid w:val="00EF616F"/>
    <w:rsid w:val="00EF61DA"/>
    <w:rsid w:val="00EF629B"/>
    <w:rsid w:val="00EF63AD"/>
    <w:rsid w:val="00EF761F"/>
    <w:rsid w:val="00EF7D3F"/>
    <w:rsid w:val="00EF7DE8"/>
    <w:rsid w:val="00F00F0F"/>
    <w:rsid w:val="00F01051"/>
    <w:rsid w:val="00F01423"/>
    <w:rsid w:val="00F01518"/>
    <w:rsid w:val="00F01EB5"/>
    <w:rsid w:val="00F01ED0"/>
    <w:rsid w:val="00F0228A"/>
    <w:rsid w:val="00F0284C"/>
    <w:rsid w:val="00F03C58"/>
    <w:rsid w:val="00F049FE"/>
    <w:rsid w:val="00F053DE"/>
    <w:rsid w:val="00F05C30"/>
    <w:rsid w:val="00F07B7D"/>
    <w:rsid w:val="00F100A3"/>
    <w:rsid w:val="00F10580"/>
    <w:rsid w:val="00F1059D"/>
    <w:rsid w:val="00F11D62"/>
    <w:rsid w:val="00F126C8"/>
    <w:rsid w:val="00F13132"/>
    <w:rsid w:val="00F14AE5"/>
    <w:rsid w:val="00F15BBF"/>
    <w:rsid w:val="00F16CE9"/>
    <w:rsid w:val="00F17F29"/>
    <w:rsid w:val="00F21262"/>
    <w:rsid w:val="00F2181D"/>
    <w:rsid w:val="00F21B81"/>
    <w:rsid w:val="00F22250"/>
    <w:rsid w:val="00F2742D"/>
    <w:rsid w:val="00F31490"/>
    <w:rsid w:val="00F3359F"/>
    <w:rsid w:val="00F34F30"/>
    <w:rsid w:val="00F37554"/>
    <w:rsid w:val="00F378E4"/>
    <w:rsid w:val="00F409EC"/>
    <w:rsid w:val="00F40DB6"/>
    <w:rsid w:val="00F40E05"/>
    <w:rsid w:val="00F424F9"/>
    <w:rsid w:val="00F42525"/>
    <w:rsid w:val="00F43903"/>
    <w:rsid w:val="00F43BED"/>
    <w:rsid w:val="00F43D81"/>
    <w:rsid w:val="00F44200"/>
    <w:rsid w:val="00F45500"/>
    <w:rsid w:val="00F45A60"/>
    <w:rsid w:val="00F45D81"/>
    <w:rsid w:val="00F4668C"/>
    <w:rsid w:val="00F47436"/>
    <w:rsid w:val="00F474A6"/>
    <w:rsid w:val="00F50051"/>
    <w:rsid w:val="00F508E1"/>
    <w:rsid w:val="00F51C37"/>
    <w:rsid w:val="00F51C70"/>
    <w:rsid w:val="00F51E33"/>
    <w:rsid w:val="00F522AF"/>
    <w:rsid w:val="00F532B9"/>
    <w:rsid w:val="00F532BA"/>
    <w:rsid w:val="00F55A6B"/>
    <w:rsid w:val="00F56A8C"/>
    <w:rsid w:val="00F5725B"/>
    <w:rsid w:val="00F57876"/>
    <w:rsid w:val="00F57892"/>
    <w:rsid w:val="00F57F43"/>
    <w:rsid w:val="00F611DF"/>
    <w:rsid w:val="00F611F0"/>
    <w:rsid w:val="00F615AA"/>
    <w:rsid w:val="00F6194E"/>
    <w:rsid w:val="00F62A54"/>
    <w:rsid w:val="00F62B93"/>
    <w:rsid w:val="00F643BB"/>
    <w:rsid w:val="00F64ABC"/>
    <w:rsid w:val="00F64F43"/>
    <w:rsid w:val="00F6507C"/>
    <w:rsid w:val="00F65D39"/>
    <w:rsid w:val="00F65DBA"/>
    <w:rsid w:val="00F70B42"/>
    <w:rsid w:val="00F7216C"/>
    <w:rsid w:val="00F729F1"/>
    <w:rsid w:val="00F7319F"/>
    <w:rsid w:val="00F73710"/>
    <w:rsid w:val="00F73D7E"/>
    <w:rsid w:val="00F740DE"/>
    <w:rsid w:val="00F74AD7"/>
    <w:rsid w:val="00F7589F"/>
    <w:rsid w:val="00F7602C"/>
    <w:rsid w:val="00F7626A"/>
    <w:rsid w:val="00F76E1D"/>
    <w:rsid w:val="00F7713D"/>
    <w:rsid w:val="00F80069"/>
    <w:rsid w:val="00F800CC"/>
    <w:rsid w:val="00F80473"/>
    <w:rsid w:val="00F80A64"/>
    <w:rsid w:val="00F80A97"/>
    <w:rsid w:val="00F80D84"/>
    <w:rsid w:val="00F81256"/>
    <w:rsid w:val="00F812BB"/>
    <w:rsid w:val="00F82426"/>
    <w:rsid w:val="00F82913"/>
    <w:rsid w:val="00F83489"/>
    <w:rsid w:val="00F8387A"/>
    <w:rsid w:val="00F84E1B"/>
    <w:rsid w:val="00F85266"/>
    <w:rsid w:val="00F85F9B"/>
    <w:rsid w:val="00F8607E"/>
    <w:rsid w:val="00F877BD"/>
    <w:rsid w:val="00F87D5E"/>
    <w:rsid w:val="00F909D2"/>
    <w:rsid w:val="00F91BAC"/>
    <w:rsid w:val="00F91EEC"/>
    <w:rsid w:val="00F92C3E"/>
    <w:rsid w:val="00F93A51"/>
    <w:rsid w:val="00F95257"/>
    <w:rsid w:val="00F9550A"/>
    <w:rsid w:val="00F95C03"/>
    <w:rsid w:val="00F967A7"/>
    <w:rsid w:val="00F96F7A"/>
    <w:rsid w:val="00F97B0E"/>
    <w:rsid w:val="00FA007A"/>
    <w:rsid w:val="00FA051A"/>
    <w:rsid w:val="00FA0E82"/>
    <w:rsid w:val="00FA131F"/>
    <w:rsid w:val="00FA1919"/>
    <w:rsid w:val="00FA1BA4"/>
    <w:rsid w:val="00FA21D5"/>
    <w:rsid w:val="00FA44F7"/>
    <w:rsid w:val="00FA4C71"/>
    <w:rsid w:val="00FA5A34"/>
    <w:rsid w:val="00FA5B37"/>
    <w:rsid w:val="00FA7359"/>
    <w:rsid w:val="00FB05A7"/>
    <w:rsid w:val="00FB0827"/>
    <w:rsid w:val="00FB0D74"/>
    <w:rsid w:val="00FB1602"/>
    <w:rsid w:val="00FB2224"/>
    <w:rsid w:val="00FB3696"/>
    <w:rsid w:val="00FB3D6D"/>
    <w:rsid w:val="00FB4232"/>
    <w:rsid w:val="00FB46D5"/>
    <w:rsid w:val="00FB49D8"/>
    <w:rsid w:val="00FB4C6C"/>
    <w:rsid w:val="00FB4EBD"/>
    <w:rsid w:val="00FB4F11"/>
    <w:rsid w:val="00FB5475"/>
    <w:rsid w:val="00FB5BBF"/>
    <w:rsid w:val="00FB6B7C"/>
    <w:rsid w:val="00FB7DBC"/>
    <w:rsid w:val="00FB7DC2"/>
    <w:rsid w:val="00FC07C5"/>
    <w:rsid w:val="00FC23A4"/>
    <w:rsid w:val="00FC23CD"/>
    <w:rsid w:val="00FC2F82"/>
    <w:rsid w:val="00FC3F13"/>
    <w:rsid w:val="00FC4A26"/>
    <w:rsid w:val="00FC56D5"/>
    <w:rsid w:val="00FC5E00"/>
    <w:rsid w:val="00FC6F76"/>
    <w:rsid w:val="00FC77FD"/>
    <w:rsid w:val="00FC7DC7"/>
    <w:rsid w:val="00FD04E2"/>
    <w:rsid w:val="00FD0E3D"/>
    <w:rsid w:val="00FD1DD3"/>
    <w:rsid w:val="00FD2668"/>
    <w:rsid w:val="00FD2BA1"/>
    <w:rsid w:val="00FD394A"/>
    <w:rsid w:val="00FD57DA"/>
    <w:rsid w:val="00FD7CA9"/>
    <w:rsid w:val="00FE12AE"/>
    <w:rsid w:val="00FE2605"/>
    <w:rsid w:val="00FE34E4"/>
    <w:rsid w:val="00FE3FE5"/>
    <w:rsid w:val="00FE41EF"/>
    <w:rsid w:val="00FE438A"/>
    <w:rsid w:val="00FE55EB"/>
    <w:rsid w:val="00FE6CB1"/>
    <w:rsid w:val="00FE7542"/>
    <w:rsid w:val="00FE77B6"/>
    <w:rsid w:val="00FF00E0"/>
    <w:rsid w:val="00FF0A36"/>
    <w:rsid w:val="00FF1949"/>
    <w:rsid w:val="00FF2046"/>
    <w:rsid w:val="00FF3F22"/>
    <w:rsid w:val="00FF4732"/>
    <w:rsid w:val="00FF4AB4"/>
    <w:rsid w:val="00FF4B9F"/>
    <w:rsid w:val="00FF4EB1"/>
    <w:rsid w:val="00FF51B6"/>
    <w:rsid w:val="00FF5930"/>
    <w:rsid w:val="00FF5A76"/>
    <w:rsid w:val="00FF7ADD"/>
    <w:rsid w:val="01055032"/>
    <w:rsid w:val="01174413"/>
    <w:rsid w:val="01392240"/>
    <w:rsid w:val="020F65B7"/>
    <w:rsid w:val="021250CE"/>
    <w:rsid w:val="023D436B"/>
    <w:rsid w:val="024628F7"/>
    <w:rsid w:val="027C7F44"/>
    <w:rsid w:val="031A2692"/>
    <w:rsid w:val="03280EF8"/>
    <w:rsid w:val="040B7E59"/>
    <w:rsid w:val="0429511D"/>
    <w:rsid w:val="045C354F"/>
    <w:rsid w:val="05287B49"/>
    <w:rsid w:val="053B4445"/>
    <w:rsid w:val="05614B95"/>
    <w:rsid w:val="058B3EF1"/>
    <w:rsid w:val="05FD666C"/>
    <w:rsid w:val="05FF47E5"/>
    <w:rsid w:val="063D2F0C"/>
    <w:rsid w:val="06554F6B"/>
    <w:rsid w:val="066F06E3"/>
    <w:rsid w:val="069041AF"/>
    <w:rsid w:val="06A61794"/>
    <w:rsid w:val="06EE1CA5"/>
    <w:rsid w:val="072B545A"/>
    <w:rsid w:val="07C03DF5"/>
    <w:rsid w:val="080A70C8"/>
    <w:rsid w:val="081B49FF"/>
    <w:rsid w:val="08362309"/>
    <w:rsid w:val="08566507"/>
    <w:rsid w:val="08FD4BD5"/>
    <w:rsid w:val="09B33566"/>
    <w:rsid w:val="0A110938"/>
    <w:rsid w:val="0A305793"/>
    <w:rsid w:val="0A7669ED"/>
    <w:rsid w:val="0A943665"/>
    <w:rsid w:val="0ABD761D"/>
    <w:rsid w:val="0B5060FD"/>
    <w:rsid w:val="0BFA53FB"/>
    <w:rsid w:val="0C5D60B6"/>
    <w:rsid w:val="0D093B48"/>
    <w:rsid w:val="0D144DED"/>
    <w:rsid w:val="0D1F336B"/>
    <w:rsid w:val="0D3D37F2"/>
    <w:rsid w:val="0DE8379F"/>
    <w:rsid w:val="0E385D2E"/>
    <w:rsid w:val="0E9A3A5A"/>
    <w:rsid w:val="0EEF6D6E"/>
    <w:rsid w:val="0F816F4C"/>
    <w:rsid w:val="0FB6788B"/>
    <w:rsid w:val="100D1BA1"/>
    <w:rsid w:val="10127F8E"/>
    <w:rsid w:val="10172A20"/>
    <w:rsid w:val="10705507"/>
    <w:rsid w:val="10EA0134"/>
    <w:rsid w:val="10ED3781"/>
    <w:rsid w:val="11470C71"/>
    <w:rsid w:val="116A3B89"/>
    <w:rsid w:val="11BA05DB"/>
    <w:rsid w:val="121F3E0E"/>
    <w:rsid w:val="12874A0B"/>
    <w:rsid w:val="12876412"/>
    <w:rsid w:val="12A175FA"/>
    <w:rsid w:val="12D22C2E"/>
    <w:rsid w:val="13315BA7"/>
    <w:rsid w:val="135A334F"/>
    <w:rsid w:val="137466BA"/>
    <w:rsid w:val="141A2ADF"/>
    <w:rsid w:val="14465682"/>
    <w:rsid w:val="145639A7"/>
    <w:rsid w:val="14643D5A"/>
    <w:rsid w:val="156206A5"/>
    <w:rsid w:val="1596161D"/>
    <w:rsid w:val="15E2762C"/>
    <w:rsid w:val="160475A2"/>
    <w:rsid w:val="1627612A"/>
    <w:rsid w:val="166149F5"/>
    <w:rsid w:val="1674347C"/>
    <w:rsid w:val="16C11650"/>
    <w:rsid w:val="16E573D4"/>
    <w:rsid w:val="174340FA"/>
    <w:rsid w:val="177E6E62"/>
    <w:rsid w:val="18493992"/>
    <w:rsid w:val="199B6470"/>
    <w:rsid w:val="1AFD2582"/>
    <w:rsid w:val="1BC31CAE"/>
    <w:rsid w:val="1BE3557F"/>
    <w:rsid w:val="1C7F02B5"/>
    <w:rsid w:val="1DA17DCD"/>
    <w:rsid w:val="1DEC7F45"/>
    <w:rsid w:val="1E2B12A6"/>
    <w:rsid w:val="1E480248"/>
    <w:rsid w:val="1E6F1C79"/>
    <w:rsid w:val="1E8307FC"/>
    <w:rsid w:val="1E937715"/>
    <w:rsid w:val="1F290ADE"/>
    <w:rsid w:val="1F3C7DAD"/>
    <w:rsid w:val="1FD77AD6"/>
    <w:rsid w:val="20482782"/>
    <w:rsid w:val="204E14DD"/>
    <w:rsid w:val="207E61A3"/>
    <w:rsid w:val="20AE4CDA"/>
    <w:rsid w:val="20BD2ACA"/>
    <w:rsid w:val="20D12777"/>
    <w:rsid w:val="21867A05"/>
    <w:rsid w:val="21D34BCD"/>
    <w:rsid w:val="21E464DA"/>
    <w:rsid w:val="220821C8"/>
    <w:rsid w:val="221943D6"/>
    <w:rsid w:val="227B5C61"/>
    <w:rsid w:val="22BC7FA6"/>
    <w:rsid w:val="22CB676E"/>
    <w:rsid w:val="22ED77E8"/>
    <w:rsid w:val="22FF181D"/>
    <w:rsid w:val="232D6531"/>
    <w:rsid w:val="236E24FF"/>
    <w:rsid w:val="25035BF5"/>
    <w:rsid w:val="250E3F9A"/>
    <w:rsid w:val="25975E04"/>
    <w:rsid w:val="25AC730F"/>
    <w:rsid w:val="25CD0281"/>
    <w:rsid w:val="269A65BC"/>
    <w:rsid w:val="27E84187"/>
    <w:rsid w:val="283C2142"/>
    <w:rsid w:val="287A74CA"/>
    <w:rsid w:val="295B52D4"/>
    <w:rsid w:val="29CE1F49"/>
    <w:rsid w:val="29FD2626"/>
    <w:rsid w:val="2A3F14DC"/>
    <w:rsid w:val="2ACF41CB"/>
    <w:rsid w:val="2AD36BB6"/>
    <w:rsid w:val="2B02634F"/>
    <w:rsid w:val="2BA638AC"/>
    <w:rsid w:val="2BBD2276"/>
    <w:rsid w:val="2BDD6474"/>
    <w:rsid w:val="2C155C0E"/>
    <w:rsid w:val="2C2B3683"/>
    <w:rsid w:val="2D2D05C2"/>
    <w:rsid w:val="2D390177"/>
    <w:rsid w:val="2E49513B"/>
    <w:rsid w:val="2E4C168F"/>
    <w:rsid w:val="2F285C58"/>
    <w:rsid w:val="2FAF0127"/>
    <w:rsid w:val="2FBB4372"/>
    <w:rsid w:val="2FDB53C0"/>
    <w:rsid w:val="30751371"/>
    <w:rsid w:val="30DB6CFA"/>
    <w:rsid w:val="30F662AE"/>
    <w:rsid w:val="30F73B34"/>
    <w:rsid w:val="313F54DB"/>
    <w:rsid w:val="318E6273"/>
    <w:rsid w:val="31FC246E"/>
    <w:rsid w:val="32E12CEE"/>
    <w:rsid w:val="332C05CF"/>
    <w:rsid w:val="33D74BB8"/>
    <w:rsid w:val="344D794D"/>
    <w:rsid w:val="346A0DE6"/>
    <w:rsid w:val="348D23C6"/>
    <w:rsid w:val="3523534B"/>
    <w:rsid w:val="35402150"/>
    <w:rsid w:val="3542559A"/>
    <w:rsid w:val="354873D0"/>
    <w:rsid w:val="35E441A9"/>
    <w:rsid w:val="36441083"/>
    <w:rsid w:val="36981915"/>
    <w:rsid w:val="371B2546"/>
    <w:rsid w:val="378D51F2"/>
    <w:rsid w:val="37E32583"/>
    <w:rsid w:val="38211DDE"/>
    <w:rsid w:val="399D5494"/>
    <w:rsid w:val="39E3559D"/>
    <w:rsid w:val="3A1A0893"/>
    <w:rsid w:val="3A3C6A5B"/>
    <w:rsid w:val="3ABE1B66"/>
    <w:rsid w:val="3ABE56C2"/>
    <w:rsid w:val="3AE51EC0"/>
    <w:rsid w:val="3AF623EB"/>
    <w:rsid w:val="3B607104"/>
    <w:rsid w:val="3B651FE2"/>
    <w:rsid w:val="3B6F6A99"/>
    <w:rsid w:val="3B716BD9"/>
    <w:rsid w:val="3B8A5C2B"/>
    <w:rsid w:val="3BB23D83"/>
    <w:rsid w:val="3CBB45AF"/>
    <w:rsid w:val="3D204412"/>
    <w:rsid w:val="3D65451B"/>
    <w:rsid w:val="3D7704F6"/>
    <w:rsid w:val="3D9170BE"/>
    <w:rsid w:val="3D9315D9"/>
    <w:rsid w:val="3DAA0B3F"/>
    <w:rsid w:val="3DAE03E8"/>
    <w:rsid w:val="3E7C6D69"/>
    <w:rsid w:val="3E9162D1"/>
    <w:rsid w:val="3EBF0F87"/>
    <w:rsid w:val="3EDB73BB"/>
    <w:rsid w:val="3F5E56C6"/>
    <w:rsid w:val="3FA255B3"/>
    <w:rsid w:val="3FA72BC9"/>
    <w:rsid w:val="3FCA68B7"/>
    <w:rsid w:val="40D45C40"/>
    <w:rsid w:val="410F480F"/>
    <w:rsid w:val="425132C0"/>
    <w:rsid w:val="428611BC"/>
    <w:rsid w:val="42D96430"/>
    <w:rsid w:val="42E63A08"/>
    <w:rsid w:val="43254DBA"/>
    <w:rsid w:val="43C4525A"/>
    <w:rsid w:val="441049B7"/>
    <w:rsid w:val="441B3B85"/>
    <w:rsid w:val="442E5667"/>
    <w:rsid w:val="4485527F"/>
    <w:rsid w:val="45102FBE"/>
    <w:rsid w:val="45C22200"/>
    <w:rsid w:val="46306F26"/>
    <w:rsid w:val="4645313C"/>
    <w:rsid w:val="46552DCD"/>
    <w:rsid w:val="46794B93"/>
    <w:rsid w:val="46A2233C"/>
    <w:rsid w:val="46C60C8F"/>
    <w:rsid w:val="46D52711"/>
    <w:rsid w:val="46DA1AD6"/>
    <w:rsid w:val="47047008"/>
    <w:rsid w:val="47176170"/>
    <w:rsid w:val="47855111"/>
    <w:rsid w:val="478B79DA"/>
    <w:rsid w:val="47D455F7"/>
    <w:rsid w:val="48B63E7D"/>
    <w:rsid w:val="495518E8"/>
    <w:rsid w:val="496B2C2B"/>
    <w:rsid w:val="49B67B88"/>
    <w:rsid w:val="49C64593"/>
    <w:rsid w:val="4A053ED1"/>
    <w:rsid w:val="4A262C3C"/>
    <w:rsid w:val="4A7D4C52"/>
    <w:rsid w:val="4ADE7385"/>
    <w:rsid w:val="4B01452B"/>
    <w:rsid w:val="4BDB367F"/>
    <w:rsid w:val="4BFC7741"/>
    <w:rsid w:val="4C5A7366"/>
    <w:rsid w:val="4C5E0AB3"/>
    <w:rsid w:val="4C753DD9"/>
    <w:rsid w:val="4D551EB6"/>
    <w:rsid w:val="4D7212C1"/>
    <w:rsid w:val="4D9F75D5"/>
    <w:rsid w:val="4DD3102D"/>
    <w:rsid w:val="4DD94895"/>
    <w:rsid w:val="4DF96CE5"/>
    <w:rsid w:val="4E0D6B46"/>
    <w:rsid w:val="4E2415BF"/>
    <w:rsid w:val="4E2A3343"/>
    <w:rsid w:val="4E4A12EF"/>
    <w:rsid w:val="4E577EB0"/>
    <w:rsid w:val="4E807407"/>
    <w:rsid w:val="4F073684"/>
    <w:rsid w:val="4F2F032F"/>
    <w:rsid w:val="4F561F16"/>
    <w:rsid w:val="4FE92D8A"/>
    <w:rsid w:val="50552A11"/>
    <w:rsid w:val="51A72BEC"/>
    <w:rsid w:val="51EF0ADD"/>
    <w:rsid w:val="524349D3"/>
    <w:rsid w:val="52BF46A2"/>
    <w:rsid w:val="53D65339"/>
    <w:rsid w:val="53F046E7"/>
    <w:rsid w:val="54306B20"/>
    <w:rsid w:val="54442C85"/>
    <w:rsid w:val="546649A9"/>
    <w:rsid w:val="54BC281B"/>
    <w:rsid w:val="54D4543E"/>
    <w:rsid w:val="55C776C9"/>
    <w:rsid w:val="55D46F5A"/>
    <w:rsid w:val="55F03728"/>
    <w:rsid w:val="560C77D2"/>
    <w:rsid w:val="561C7DFD"/>
    <w:rsid w:val="56334ED9"/>
    <w:rsid w:val="56701449"/>
    <w:rsid w:val="568850AA"/>
    <w:rsid w:val="56F874E3"/>
    <w:rsid w:val="56FB3ACE"/>
    <w:rsid w:val="571C1C97"/>
    <w:rsid w:val="571E5A0F"/>
    <w:rsid w:val="57A06424"/>
    <w:rsid w:val="57E44562"/>
    <w:rsid w:val="58AB2F03"/>
    <w:rsid w:val="58E42340"/>
    <w:rsid w:val="596D0588"/>
    <w:rsid w:val="59F36D13"/>
    <w:rsid w:val="5A126632"/>
    <w:rsid w:val="5A171369"/>
    <w:rsid w:val="5A366373"/>
    <w:rsid w:val="5A3B2BD8"/>
    <w:rsid w:val="5A727DC6"/>
    <w:rsid w:val="5AE12FDB"/>
    <w:rsid w:val="5B0A0784"/>
    <w:rsid w:val="5BE924F0"/>
    <w:rsid w:val="5BF1724E"/>
    <w:rsid w:val="5C401F83"/>
    <w:rsid w:val="5C6B34A4"/>
    <w:rsid w:val="5C7659A5"/>
    <w:rsid w:val="5C9A5B38"/>
    <w:rsid w:val="5CA273BA"/>
    <w:rsid w:val="5CAA564F"/>
    <w:rsid w:val="5CF8460C"/>
    <w:rsid w:val="5D3F1433"/>
    <w:rsid w:val="5D50269A"/>
    <w:rsid w:val="5D5E0913"/>
    <w:rsid w:val="5D9A6865"/>
    <w:rsid w:val="5DB52A5D"/>
    <w:rsid w:val="5DE34A7A"/>
    <w:rsid w:val="5DFE0B0A"/>
    <w:rsid w:val="5EF7597C"/>
    <w:rsid w:val="602508EC"/>
    <w:rsid w:val="604162CA"/>
    <w:rsid w:val="608A66C7"/>
    <w:rsid w:val="60DB671F"/>
    <w:rsid w:val="61686204"/>
    <w:rsid w:val="61BE4BEC"/>
    <w:rsid w:val="61EB2991"/>
    <w:rsid w:val="61F23B4C"/>
    <w:rsid w:val="62620EA5"/>
    <w:rsid w:val="627B2BCF"/>
    <w:rsid w:val="62AD7D0E"/>
    <w:rsid w:val="62F4112C"/>
    <w:rsid w:val="639D006E"/>
    <w:rsid w:val="63E47698"/>
    <w:rsid w:val="641066DF"/>
    <w:rsid w:val="64753C2E"/>
    <w:rsid w:val="649D3E69"/>
    <w:rsid w:val="649E3CEB"/>
    <w:rsid w:val="64D57D0D"/>
    <w:rsid w:val="64EC6216"/>
    <w:rsid w:val="652C286C"/>
    <w:rsid w:val="6540201E"/>
    <w:rsid w:val="66195D1F"/>
    <w:rsid w:val="6626767F"/>
    <w:rsid w:val="66D954AE"/>
    <w:rsid w:val="66EF3BDD"/>
    <w:rsid w:val="671D183F"/>
    <w:rsid w:val="673A568A"/>
    <w:rsid w:val="68E5638C"/>
    <w:rsid w:val="696E7130"/>
    <w:rsid w:val="6A5B5CB8"/>
    <w:rsid w:val="6A7259FE"/>
    <w:rsid w:val="6AE56A4E"/>
    <w:rsid w:val="6B01158A"/>
    <w:rsid w:val="6B7C0CF9"/>
    <w:rsid w:val="6BC15FEB"/>
    <w:rsid w:val="6BCE4EB6"/>
    <w:rsid w:val="6C664058"/>
    <w:rsid w:val="6CD52274"/>
    <w:rsid w:val="6D0D1A0E"/>
    <w:rsid w:val="6D2154B9"/>
    <w:rsid w:val="6DFA0FD2"/>
    <w:rsid w:val="6E587601"/>
    <w:rsid w:val="70134663"/>
    <w:rsid w:val="705D0EFE"/>
    <w:rsid w:val="70B14DA6"/>
    <w:rsid w:val="71213CDA"/>
    <w:rsid w:val="71C31D53"/>
    <w:rsid w:val="71FC0F4D"/>
    <w:rsid w:val="721D26F3"/>
    <w:rsid w:val="721F290F"/>
    <w:rsid w:val="722F470F"/>
    <w:rsid w:val="728F5ACA"/>
    <w:rsid w:val="739C6873"/>
    <w:rsid w:val="73BC0BCA"/>
    <w:rsid w:val="73D6524F"/>
    <w:rsid w:val="73EB6821"/>
    <w:rsid w:val="74681C20"/>
    <w:rsid w:val="74E8403F"/>
    <w:rsid w:val="7510653F"/>
    <w:rsid w:val="75463B3A"/>
    <w:rsid w:val="756E14B8"/>
    <w:rsid w:val="75A00BAA"/>
    <w:rsid w:val="76650B0D"/>
    <w:rsid w:val="76A24662"/>
    <w:rsid w:val="77363632"/>
    <w:rsid w:val="7760296A"/>
    <w:rsid w:val="77AB254F"/>
    <w:rsid w:val="77AB4EF3"/>
    <w:rsid w:val="77C03A8A"/>
    <w:rsid w:val="77F71EBF"/>
    <w:rsid w:val="78AB2E3A"/>
    <w:rsid w:val="79B7759D"/>
    <w:rsid w:val="79DD3B49"/>
    <w:rsid w:val="79E302C7"/>
    <w:rsid w:val="79FC1788"/>
    <w:rsid w:val="7A15284A"/>
    <w:rsid w:val="7AD53AED"/>
    <w:rsid w:val="7AE525EC"/>
    <w:rsid w:val="7B487E2F"/>
    <w:rsid w:val="7B8D02C0"/>
    <w:rsid w:val="7B9A6B62"/>
    <w:rsid w:val="7BB75966"/>
    <w:rsid w:val="7C2D3E7B"/>
    <w:rsid w:val="7CB0213F"/>
    <w:rsid w:val="7CE204E0"/>
    <w:rsid w:val="7DB008BF"/>
    <w:rsid w:val="7E051D65"/>
    <w:rsid w:val="7E1F6B85"/>
    <w:rsid w:val="7E291DA4"/>
    <w:rsid w:val="7E2E1D22"/>
    <w:rsid w:val="7E3D591C"/>
    <w:rsid w:val="7E484F9C"/>
    <w:rsid w:val="7E584D50"/>
    <w:rsid w:val="7E7F0292"/>
    <w:rsid w:val="7E851D4C"/>
    <w:rsid w:val="7F450482"/>
    <w:rsid w:val="7F7678E7"/>
    <w:rsid w:val="7F8813C8"/>
    <w:rsid w:val="7F9D14EF"/>
    <w:rsid w:val="7FDA60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600" w:lineRule="exact"/>
      <w:ind w:firstLine="200" w:firstLineChars="200"/>
      <w:jc w:val="both"/>
    </w:pPr>
    <w:rPr>
      <w:rFonts w:eastAsia="仿宋_GB2312" w:asciiTheme="minorHAnsi" w:hAnsiTheme="minorHAnsi" w:cstheme="minorBidi"/>
      <w:kern w:val="2"/>
      <w:sz w:val="30"/>
      <w:szCs w:val="22"/>
      <w:lang w:val="en-US" w:eastAsia="zh-CN" w:bidi="ar-SA"/>
    </w:rPr>
  </w:style>
  <w:style w:type="paragraph" w:styleId="3">
    <w:name w:val="heading 1"/>
    <w:basedOn w:val="1"/>
    <w:next w:val="1"/>
    <w:link w:val="35"/>
    <w:autoRedefine/>
    <w:qFormat/>
    <w:uiPriority w:val="0"/>
    <w:pPr>
      <w:keepNext/>
      <w:keepLines/>
      <w:spacing w:beforeLines="50" w:afterLines="20" w:line="360" w:lineRule="auto"/>
      <w:jc w:val="center"/>
      <w:outlineLvl w:val="0"/>
    </w:pPr>
    <w:rPr>
      <w:rFonts w:eastAsia="黑体"/>
      <w:bCs/>
      <w:kern w:val="44"/>
      <w:sz w:val="32"/>
      <w:szCs w:val="44"/>
    </w:rPr>
  </w:style>
  <w:style w:type="paragraph" w:styleId="4">
    <w:name w:val="heading 2"/>
    <w:basedOn w:val="1"/>
    <w:next w:val="1"/>
    <w:link w:val="36"/>
    <w:autoRedefine/>
    <w:unhideWhenUsed/>
    <w:qFormat/>
    <w:uiPriority w:val="0"/>
    <w:pPr>
      <w:keepNext/>
      <w:keepLines/>
      <w:spacing w:beforeLines="50" w:afterLines="20" w:line="360" w:lineRule="auto"/>
      <w:jc w:val="center"/>
      <w:outlineLvl w:val="1"/>
    </w:pPr>
    <w:rPr>
      <w:rFonts w:asciiTheme="majorHAnsi" w:hAnsiTheme="majorHAnsi" w:cstheme="majorBidi"/>
      <w:b/>
      <w:bCs/>
      <w:sz w:val="32"/>
      <w:szCs w:val="32"/>
    </w:rPr>
  </w:style>
  <w:style w:type="paragraph" w:styleId="5">
    <w:name w:val="heading 3"/>
    <w:basedOn w:val="1"/>
    <w:next w:val="1"/>
    <w:link w:val="37"/>
    <w:autoRedefine/>
    <w:unhideWhenUsed/>
    <w:qFormat/>
    <w:uiPriority w:val="9"/>
    <w:pPr>
      <w:keepNext/>
      <w:keepLines/>
      <w:outlineLvl w:val="2"/>
    </w:pPr>
    <w:rPr>
      <w:b/>
      <w:bCs/>
      <w:szCs w:val="32"/>
    </w:rPr>
  </w:style>
  <w:style w:type="paragraph" w:styleId="6">
    <w:name w:val="heading 4"/>
    <w:basedOn w:val="1"/>
    <w:next w:val="1"/>
    <w:link w:val="41"/>
    <w:autoRedefine/>
    <w:unhideWhenUsed/>
    <w:qFormat/>
    <w:uiPriority w:val="9"/>
    <w:pPr>
      <w:keepNext/>
      <w:keepLines/>
      <w:outlineLvl w:val="3"/>
    </w:pPr>
    <w:rPr>
      <w:rFonts w:asciiTheme="majorHAnsi" w:hAnsiTheme="majorHAnsi" w:cstheme="majorBidi"/>
      <w:bCs/>
      <w:szCs w:val="28"/>
    </w:rPr>
  </w:style>
  <w:style w:type="paragraph" w:styleId="7">
    <w:name w:val="heading 5"/>
    <w:basedOn w:val="1"/>
    <w:next w:val="1"/>
    <w:link w:val="46"/>
    <w:autoRedefine/>
    <w:unhideWhenUsed/>
    <w:qFormat/>
    <w:uiPriority w:val="9"/>
    <w:pPr>
      <w:keepNext/>
      <w:keepLines/>
      <w:spacing w:before="280" w:after="290" w:line="376" w:lineRule="atLeast"/>
      <w:outlineLvl w:val="4"/>
    </w:pPr>
    <w:rPr>
      <w:b/>
      <w:bCs/>
      <w:sz w:val="28"/>
      <w:szCs w:val="28"/>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45"/>
    <w:autoRedefine/>
    <w:qFormat/>
    <w:uiPriority w:val="0"/>
    <w:pPr>
      <w:widowControl w:val="0"/>
      <w:adjustRightInd w:val="0"/>
      <w:snapToGrid w:val="0"/>
      <w:spacing w:afterLines="50" w:line="480" w:lineRule="exact"/>
    </w:pPr>
    <w:rPr>
      <w:rFonts w:ascii="Times New Roman" w:hAnsi="Times New Roman" w:eastAsia="仿宋"/>
      <w:sz w:val="28"/>
      <w:szCs w:val="24"/>
    </w:rPr>
  </w:style>
  <w:style w:type="paragraph" w:styleId="8">
    <w:name w:val="toc 7"/>
    <w:basedOn w:val="1"/>
    <w:next w:val="1"/>
    <w:autoRedefine/>
    <w:unhideWhenUsed/>
    <w:qFormat/>
    <w:uiPriority w:val="39"/>
    <w:pPr>
      <w:widowControl w:val="0"/>
      <w:spacing w:line="240" w:lineRule="auto"/>
      <w:ind w:left="2520" w:leftChars="1200" w:firstLine="0" w:firstLineChars="0"/>
    </w:pPr>
    <w:rPr>
      <w:rFonts w:eastAsiaTheme="minorEastAsia"/>
      <w:sz w:val="21"/>
    </w:rPr>
  </w:style>
  <w:style w:type="paragraph" w:styleId="9">
    <w:name w:val="Normal Indent"/>
    <w:basedOn w:val="1"/>
    <w:autoRedefine/>
    <w:qFormat/>
    <w:uiPriority w:val="0"/>
    <w:pPr>
      <w:widowControl w:val="0"/>
      <w:spacing w:line="240" w:lineRule="auto"/>
      <w:ind w:firstLine="880"/>
    </w:pPr>
    <w:rPr>
      <w:rFonts w:ascii="Calibri" w:hAnsi="Calibri" w:eastAsia="宋体" w:cs="Times New Roman"/>
      <w:sz w:val="21"/>
      <w:szCs w:val="24"/>
    </w:rPr>
  </w:style>
  <w:style w:type="paragraph" w:styleId="10">
    <w:name w:val="caption"/>
    <w:basedOn w:val="1"/>
    <w:next w:val="1"/>
    <w:link w:val="62"/>
    <w:autoRedefine/>
    <w:qFormat/>
    <w:uiPriority w:val="0"/>
    <w:pPr>
      <w:widowControl w:val="0"/>
      <w:spacing w:line="360" w:lineRule="auto"/>
      <w:ind w:firstLine="0" w:firstLineChars="0"/>
      <w:jc w:val="center"/>
    </w:pPr>
    <w:rPr>
      <w:rFonts w:ascii="黑体" w:hAnsi="黑体" w:eastAsia="黑体" w:cs="Times New Roman"/>
      <w:kern w:val="0"/>
      <w:sz w:val="24"/>
      <w:szCs w:val="28"/>
    </w:rPr>
  </w:style>
  <w:style w:type="paragraph" w:styleId="11">
    <w:name w:val="annotation text"/>
    <w:basedOn w:val="1"/>
    <w:link w:val="51"/>
    <w:autoRedefine/>
    <w:semiHidden/>
    <w:unhideWhenUsed/>
    <w:qFormat/>
    <w:uiPriority w:val="99"/>
    <w:pPr>
      <w:jc w:val="left"/>
    </w:pPr>
  </w:style>
  <w:style w:type="paragraph" w:styleId="12">
    <w:name w:val="toc 5"/>
    <w:basedOn w:val="1"/>
    <w:next w:val="1"/>
    <w:autoRedefine/>
    <w:unhideWhenUsed/>
    <w:qFormat/>
    <w:uiPriority w:val="39"/>
    <w:pPr>
      <w:widowControl w:val="0"/>
      <w:spacing w:line="240" w:lineRule="auto"/>
      <w:ind w:left="1680" w:leftChars="800" w:firstLine="0" w:firstLineChars="0"/>
    </w:pPr>
    <w:rPr>
      <w:rFonts w:eastAsiaTheme="minorEastAsia"/>
      <w:sz w:val="21"/>
    </w:rPr>
  </w:style>
  <w:style w:type="paragraph" w:styleId="13">
    <w:name w:val="toc 3"/>
    <w:basedOn w:val="1"/>
    <w:next w:val="1"/>
    <w:autoRedefine/>
    <w:unhideWhenUsed/>
    <w:qFormat/>
    <w:uiPriority w:val="39"/>
    <w:pPr>
      <w:ind w:left="840" w:leftChars="400"/>
    </w:pPr>
  </w:style>
  <w:style w:type="paragraph" w:styleId="14">
    <w:name w:val="toc 8"/>
    <w:basedOn w:val="1"/>
    <w:next w:val="1"/>
    <w:autoRedefine/>
    <w:unhideWhenUsed/>
    <w:qFormat/>
    <w:uiPriority w:val="39"/>
    <w:pPr>
      <w:widowControl w:val="0"/>
      <w:spacing w:line="240" w:lineRule="auto"/>
      <w:ind w:left="2940" w:leftChars="1400" w:firstLine="0" w:firstLineChars="0"/>
    </w:pPr>
    <w:rPr>
      <w:rFonts w:eastAsiaTheme="minorEastAsia"/>
      <w:sz w:val="21"/>
    </w:rPr>
  </w:style>
  <w:style w:type="paragraph" w:styleId="15">
    <w:name w:val="Balloon Text"/>
    <w:basedOn w:val="1"/>
    <w:link w:val="50"/>
    <w:autoRedefine/>
    <w:unhideWhenUsed/>
    <w:qFormat/>
    <w:uiPriority w:val="0"/>
    <w:pPr>
      <w:spacing w:line="240" w:lineRule="auto"/>
    </w:pPr>
    <w:rPr>
      <w:sz w:val="18"/>
      <w:szCs w:val="18"/>
    </w:rPr>
  </w:style>
  <w:style w:type="paragraph" w:styleId="16">
    <w:name w:val="footer"/>
    <w:basedOn w:val="1"/>
    <w:link w:val="40"/>
    <w:autoRedefine/>
    <w:unhideWhenUsed/>
    <w:qFormat/>
    <w:uiPriority w:val="99"/>
    <w:pPr>
      <w:tabs>
        <w:tab w:val="center" w:pos="4153"/>
        <w:tab w:val="right" w:pos="8306"/>
      </w:tabs>
      <w:snapToGrid w:val="0"/>
      <w:spacing w:line="240" w:lineRule="atLeast"/>
      <w:jc w:val="left"/>
    </w:pPr>
    <w:rPr>
      <w:sz w:val="18"/>
      <w:szCs w:val="18"/>
    </w:rPr>
  </w:style>
  <w:style w:type="paragraph" w:styleId="17">
    <w:name w:val="header"/>
    <w:basedOn w:val="1"/>
    <w:link w:val="39"/>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8">
    <w:name w:val="toc 1"/>
    <w:basedOn w:val="1"/>
    <w:next w:val="1"/>
    <w:autoRedefine/>
    <w:unhideWhenUsed/>
    <w:qFormat/>
    <w:uiPriority w:val="39"/>
  </w:style>
  <w:style w:type="paragraph" w:styleId="19">
    <w:name w:val="toc 4"/>
    <w:basedOn w:val="1"/>
    <w:next w:val="1"/>
    <w:autoRedefine/>
    <w:unhideWhenUsed/>
    <w:qFormat/>
    <w:uiPriority w:val="39"/>
    <w:pPr>
      <w:widowControl w:val="0"/>
      <w:spacing w:line="240" w:lineRule="auto"/>
      <w:ind w:left="1260" w:leftChars="600" w:firstLine="0" w:firstLineChars="0"/>
    </w:pPr>
    <w:rPr>
      <w:rFonts w:eastAsiaTheme="minorEastAsia"/>
      <w:sz w:val="21"/>
    </w:rPr>
  </w:style>
  <w:style w:type="paragraph" w:styleId="20">
    <w:name w:val="toc 6"/>
    <w:basedOn w:val="1"/>
    <w:next w:val="1"/>
    <w:autoRedefine/>
    <w:unhideWhenUsed/>
    <w:qFormat/>
    <w:uiPriority w:val="39"/>
    <w:pPr>
      <w:widowControl w:val="0"/>
      <w:spacing w:line="240" w:lineRule="auto"/>
      <w:ind w:left="2100" w:leftChars="1000" w:firstLine="0" w:firstLineChars="0"/>
    </w:pPr>
    <w:rPr>
      <w:rFonts w:eastAsiaTheme="minorEastAsia"/>
      <w:sz w:val="21"/>
    </w:rPr>
  </w:style>
  <w:style w:type="paragraph" w:styleId="21">
    <w:name w:val="table of figures"/>
    <w:basedOn w:val="1"/>
    <w:next w:val="1"/>
    <w:autoRedefine/>
    <w:unhideWhenUsed/>
    <w:qFormat/>
    <w:uiPriority w:val="99"/>
    <w:pPr>
      <w:widowControl w:val="0"/>
      <w:adjustRightInd w:val="0"/>
      <w:snapToGrid w:val="0"/>
      <w:spacing w:afterLines="50" w:line="480" w:lineRule="exact"/>
      <w:ind w:left="200" w:leftChars="200" w:hanging="200" w:hangingChars="200"/>
    </w:pPr>
    <w:rPr>
      <w:rFonts w:ascii="Times New Roman" w:hAnsi="Times New Roman" w:eastAsia="仿宋"/>
      <w:sz w:val="28"/>
      <w:szCs w:val="24"/>
    </w:rPr>
  </w:style>
  <w:style w:type="paragraph" w:styleId="22">
    <w:name w:val="toc 2"/>
    <w:basedOn w:val="1"/>
    <w:next w:val="1"/>
    <w:autoRedefine/>
    <w:unhideWhenUsed/>
    <w:qFormat/>
    <w:uiPriority w:val="39"/>
    <w:pPr>
      <w:ind w:left="420" w:leftChars="200"/>
    </w:pPr>
  </w:style>
  <w:style w:type="paragraph" w:styleId="23">
    <w:name w:val="toc 9"/>
    <w:basedOn w:val="1"/>
    <w:next w:val="1"/>
    <w:autoRedefine/>
    <w:unhideWhenUsed/>
    <w:qFormat/>
    <w:uiPriority w:val="39"/>
    <w:pPr>
      <w:widowControl w:val="0"/>
      <w:spacing w:line="240" w:lineRule="auto"/>
      <w:ind w:left="3360" w:leftChars="1600" w:firstLine="0" w:firstLineChars="0"/>
    </w:pPr>
    <w:rPr>
      <w:rFonts w:eastAsiaTheme="minorEastAsia"/>
      <w:sz w:val="21"/>
    </w:rPr>
  </w:style>
  <w:style w:type="paragraph" w:styleId="24">
    <w:name w:val="Normal (Web)"/>
    <w:basedOn w:val="1"/>
    <w:autoRedefine/>
    <w:qFormat/>
    <w:uiPriority w:val="0"/>
    <w:pPr>
      <w:spacing w:beforeAutospacing="1" w:afterAutospacing="1"/>
      <w:jc w:val="left"/>
    </w:pPr>
    <w:rPr>
      <w:rFonts w:cs="Times New Roman"/>
      <w:kern w:val="0"/>
      <w:sz w:val="24"/>
    </w:rPr>
  </w:style>
  <w:style w:type="paragraph" w:styleId="25">
    <w:name w:val="annotation subject"/>
    <w:basedOn w:val="11"/>
    <w:next w:val="11"/>
    <w:link w:val="52"/>
    <w:autoRedefine/>
    <w:semiHidden/>
    <w:unhideWhenUsed/>
    <w:qFormat/>
    <w:uiPriority w:val="99"/>
    <w:rPr>
      <w:b/>
      <w:bCs/>
    </w:rPr>
  </w:style>
  <w:style w:type="paragraph" w:styleId="26">
    <w:name w:val="Body Text First Indent"/>
    <w:basedOn w:val="2"/>
    <w:next w:val="2"/>
    <w:autoRedefine/>
    <w:semiHidden/>
    <w:unhideWhenUsed/>
    <w:qFormat/>
    <w:uiPriority w:val="99"/>
    <w:pPr>
      <w:ind w:firstLine="420" w:firstLineChars="100"/>
    </w:p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Emphasis"/>
    <w:basedOn w:val="29"/>
    <w:qFormat/>
    <w:uiPriority w:val="20"/>
    <w:rPr>
      <w:i/>
    </w:rPr>
  </w:style>
  <w:style w:type="character" w:styleId="32">
    <w:name w:val="Hyperlink"/>
    <w:basedOn w:val="29"/>
    <w:autoRedefine/>
    <w:unhideWhenUsed/>
    <w:qFormat/>
    <w:uiPriority w:val="99"/>
    <w:rPr>
      <w:color w:val="0000FF"/>
      <w:u w:val="single"/>
    </w:rPr>
  </w:style>
  <w:style w:type="character" w:styleId="33">
    <w:name w:val="annotation reference"/>
    <w:basedOn w:val="29"/>
    <w:autoRedefine/>
    <w:semiHidden/>
    <w:unhideWhenUsed/>
    <w:qFormat/>
    <w:uiPriority w:val="99"/>
    <w:rPr>
      <w:sz w:val="21"/>
      <w:szCs w:val="21"/>
    </w:rPr>
  </w:style>
  <w:style w:type="paragraph" w:styleId="34">
    <w:name w:val="List Paragraph"/>
    <w:basedOn w:val="1"/>
    <w:autoRedefine/>
    <w:qFormat/>
    <w:uiPriority w:val="34"/>
    <w:pPr>
      <w:ind w:firstLine="420"/>
    </w:pPr>
  </w:style>
  <w:style w:type="character" w:customStyle="1" w:styleId="35">
    <w:name w:val="标题 1 字符"/>
    <w:basedOn w:val="29"/>
    <w:link w:val="3"/>
    <w:autoRedefine/>
    <w:qFormat/>
    <w:uiPriority w:val="9"/>
    <w:rPr>
      <w:rFonts w:eastAsia="黑体"/>
      <w:bCs/>
      <w:kern w:val="44"/>
      <w:sz w:val="32"/>
      <w:szCs w:val="44"/>
    </w:rPr>
  </w:style>
  <w:style w:type="character" w:customStyle="1" w:styleId="36">
    <w:name w:val="标题 2 字符"/>
    <w:basedOn w:val="29"/>
    <w:link w:val="4"/>
    <w:autoRedefine/>
    <w:qFormat/>
    <w:uiPriority w:val="9"/>
    <w:rPr>
      <w:rFonts w:eastAsia="仿宋_GB2312" w:asciiTheme="majorHAnsi" w:hAnsiTheme="majorHAnsi" w:cstheme="majorBidi"/>
      <w:b/>
      <w:bCs/>
      <w:sz w:val="32"/>
      <w:szCs w:val="32"/>
    </w:rPr>
  </w:style>
  <w:style w:type="character" w:customStyle="1" w:styleId="37">
    <w:name w:val="标题 3 字符"/>
    <w:basedOn w:val="29"/>
    <w:link w:val="5"/>
    <w:autoRedefine/>
    <w:qFormat/>
    <w:uiPriority w:val="9"/>
    <w:rPr>
      <w:rFonts w:eastAsia="仿宋_GB2312"/>
      <w:b/>
      <w:bCs/>
      <w:sz w:val="30"/>
      <w:szCs w:val="32"/>
    </w:rPr>
  </w:style>
  <w:style w:type="paragraph" w:styleId="38">
    <w:name w:val="No Spacing"/>
    <w:autoRedefine/>
    <w:qFormat/>
    <w:uiPriority w:val="1"/>
    <w:pPr>
      <w:widowControl w:val="0"/>
      <w:ind w:firstLine="200" w:firstLineChars="200"/>
      <w:jc w:val="both"/>
    </w:pPr>
    <w:rPr>
      <w:rFonts w:eastAsia="仿宋_GB2312" w:asciiTheme="minorHAnsi" w:hAnsiTheme="minorHAnsi" w:cstheme="minorBidi"/>
      <w:kern w:val="2"/>
      <w:sz w:val="30"/>
      <w:szCs w:val="22"/>
      <w:lang w:val="en-US" w:eastAsia="zh-CN" w:bidi="ar-SA"/>
    </w:rPr>
  </w:style>
  <w:style w:type="character" w:customStyle="1" w:styleId="39">
    <w:name w:val="页眉 字符"/>
    <w:basedOn w:val="29"/>
    <w:link w:val="17"/>
    <w:autoRedefine/>
    <w:qFormat/>
    <w:uiPriority w:val="99"/>
    <w:rPr>
      <w:rFonts w:eastAsia="仿宋_GB2312"/>
      <w:sz w:val="18"/>
      <w:szCs w:val="18"/>
    </w:rPr>
  </w:style>
  <w:style w:type="character" w:customStyle="1" w:styleId="40">
    <w:name w:val="页脚 字符"/>
    <w:basedOn w:val="29"/>
    <w:link w:val="16"/>
    <w:autoRedefine/>
    <w:qFormat/>
    <w:uiPriority w:val="99"/>
    <w:rPr>
      <w:rFonts w:eastAsia="仿宋_GB2312"/>
      <w:sz w:val="18"/>
      <w:szCs w:val="18"/>
    </w:rPr>
  </w:style>
  <w:style w:type="character" w:customStyle="1" w:styleId="41">
    <w:name w:val="标题 4 字符"/>
    <w:basedOn w:val="29"/>
    <w:link w:val="6"/>
    <w:autoRedefine/>
    <w:qFormat/>
    <w:uiPriority w:val="9"/>
    <w:rPr>
      <w:rFonts w:eastAsia="仿宋_GB2312" w:asciiTheme="majorHAnsi" w:hAnsiTheme="majorHAnsi" w:cstheme="majorBidi"/>
      <w:bCs/>
      <w:sz w:val="30"/>
      <w:szCs w:val="28"/>
    </w:rPr>
  </w:style>
  <w:style w:type="paragraph" w:customStyle="1" w:styleId="42">
    <w:name w:val="TOC 标题1"/>
    <w:basedOn w:val="3"/>
    <w:next w:val="1"/>
    <w:autoRedefine/>
    <w:unhideWhenUsed/>
    <w:qFormat/>
    <w:uiPriority w:val="39"/>
    <w:pPr>
      <w:spacing w:beforeLines="0" w:afterLines="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paragraph" w:customStyle="1" w:styleId="43">
    <w:name w:val="专栏内文字"/>
    <w:basedOn w:val="1"/>
    <w:link w:val="44"/>
    <w:autoRedefine/>
    <w:qFormat/>
    <w:uiPriority w:val="0"/>
    <w:pPr>
      <w:spacing w:line="440" w:lineRule="exact"/>
      <w:jc w:val="left"/>
    </w:pPr>
    <w:rPr>
      <w:sz w:val="24"/>
      <w:szCs w:val="24"/>
    </w:rPr>
  </w:style>
  <w:style w:type="character" w:customStyle="1" w:styleId="44">
    <w:name w:val="专栏内文字 字符"/>
    <w:basedOn w:val="29"/>
    <w:link w:val="43"/>
    <w:autoRedefine/>
    <w:qFormat/>
    <w:uiPriority w:val="0"/>
    <w:rPr>
      <w:rFonts w:eastAsia="仿宋_GB2312"/>
      <w:sz w:val="24"/>
      <w:szCs w:val="24"/>
    </w:rPr>
  </w:style>
  <w:style w:type="character" w:customStyle="1" w:styleId="45">
    <w:name w:val="正文文本 字符"/>
    <w:basedOn w:val="29"/>
    <w:link w:val="2"/>
    <w:autoRedefine/>
    <w:qFormat/>
    <w:uiPriority w:val="99"/>
    <w:rPr>
      <w:rFonts w:ascii="Times New Roman" w:hAnsi="Times New Roman" w:eastAsia="仿宋"/>
      <w:sz w:val="28"/>
      <w:szCs w:val="24"/>
    </w:rPr>
  </w:style>
  <w:style w:type="character" w:customStyle="1" w:styleId="46">
    <w:name w:val="标题 5 字符"/>
    <w:basedOn w:val="29"/>
    <w:link w:val="7"/>
    <w:autoRedefine/>
    <w:qFormat/>
    <w:uiPriority w:val="9"/>
    <w:rPr>
      <w:rFonts w:eastAsia="仿宋_GB2312"/>
      <w:b/>
      <w:bCs/>
      <w:sz w:val="28"/>
      <w:szCs w:val="28"/>
    </w:rPr>
  </w:style>
  <w:style w:type="paragraph" w:customStyle="1" w:styleId="47">
    <w:name w:val="Default"/>
    <w:autoRedefine/>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48">
    <w:name w:val="未处理的提及1"/>
    <w:basedOn w:val="29"/>
    <w:autoRedefine/>
    <w:semiHidden/>
    <w:unhideWhenUsed/>
    <w:qFormat/>
    <w:uiPriority w:val="99"/>
    <w:rPr>
      <w:color w:val="605E5C"/>
      <w:shd w:val="clear" w:color="auto" w:fill="E1DFDD"/>
    </w:rPr>
  </w:style>
  <w:style w:type="paragraph" w:customStyle="1" w:styleId="49">
    <w:name w:val="正文1"/>
    <w:basedOn w:val="1"/>
    <w:autoRedefine/>
    <w:qFormat/>
    <w:uiPriority w:val="0"/>
    <w:pPr>
      <w:widowControl w:val="0"/>
      <w:adjustRightInd w:val="0"/>
      <w:snapToGrid w:val="0"/>
      <w:spacing w:beforeLines="50" w:afterLines="50"/>
    </w:pPr>
    <w:rPr>
      <w:sz w:val="24"/>
    </w:rPr>
  </w:style>
  <w:style w:type="character" w:customStyle="1" w:styleId="50">
    <w:name w:val="批注框文本 字符"/>
    <w:basedOn w:val="29"/>
    <w:link w:val="15"/>
    <w:autoRedefine/>
    <w:qFormat/>
    <w:uiPriority w:val="0"/>
    <w:rPr>
      <w:rFonts w:eastAsia="仿宋_GB2312"/>
      <w:sz w:val="18"/>
      <w:szCs w:val="18"/>
    </w:rPr>
  </w:style>
  <w:style w:type="character" w:customStyle="1" w:styleId="51">
    <w:name w:val="批注文字 字符"/>
    <w:basedOn w:val="29"/>
    <w:link w:val="11"/>
    <w:autoRedefine/>
    <w:semiHidden/>
    <w:qFormat/>
    <w:uiPriority w:val="99"/>
    <w:rPr>
      <w:rFonts w:eastAsia="仿宋_GB2312"/>
      <w:sz w:val="30"/>
    </w:rPr>
  </w:style>
  <w:style w:type="character" w:customStyle="1" w:styleId="52">
    <w:name w:val="批注主题 字符"/>
    <w:basedOn w:val="51"/>
    <w:link w:val="25"/>
    <w:autoRedefine/>
    <w:semiHidden/>
    <w:qFormat/>
    <w:uiPriority w:val="99"/>
    <w:rPr>
      <w:rFonts w:eastAsia="仿宋_GB2312"/>
      <w:b/>
      <w:bCs/>
      <w:sz w:val="30"/>
    </w:rPr>
  </w:style>
  <w:style w:type="character" w:customStyle="1" w:styleId="53">
    <w:name w:val="font51"/>
    <w:basedOn w:val="29"/>
    <w:autoRedefine/>
    <w:qFormat/>
    <w:uiPriority w:val="0"/>
    <w:rPr>
      <w:rFonts w:hint="default" w:ascii="Times New Roman" w:hAnsi="Times New Roman" w:cs="Times New Roman"/>
      <w:color w:val="000000"/>
      <w:sz w:val="21"/>
      <w:szCs w:val="21"/>
      <w:u w:val="none"/>
    </w:rPr>
  </w:style>
  <w:style w:type="character" w:customStyle="1" w:styleId="54">
    <w:name w:val="font31"/>
    <w:basedOn w:val="29"/>
    <w:autoRedefine/>
    <w:qFormat/>
    <w:uiPriority w:val="0"/>
    <w:rPr>
      <w:rFonts w:hint="default" w:ascii="Times New Roman" w:hAnsi="Times New Roman" w:cs="Times New Roman"/>
      <w:color w:val="FF0000"/>
      <w:sz w:val="21"/>
      <w:szCs w:val="21"/>
      <w:u w:val="none"/>
    </w:rPr>
  </w:style>
  <w:style w:type="paragraph" w:customStyle="1" w:styleId="55">
    <w:name w:val="表头"/>
    <w:basedOn w:val="1"/>
    <w:autoRedefine/>
    <w:qFormat/>
    <w:uiPriority w:val="0"/>
    <w:pPr>
      <w:widowControl w:val="0"/>
      <w:adjustRightInd w:val="0"/>
      <w:snapToGrid w:val="0"/>
      <w:spacing w:afterLines="50" w:line="360" w:lineRule="auto"/>
      <w:ind w:firstLine="0" w:firstLineChars="0"/>
      <w:jc w:val="center"/>
    </w:pPr>
    <w:rPr>
      <w:rFonts w:ascii="Times New Roman" w:hAnsi="Times New Roman" w:eastAsia="仿宋" w:cs="Times New Roman"/>
      <w:bCs/>
      <w:color w:val="000000"/>
      <w:sz w:val="32"/>
      <w:szCs w:val="32"/>
    </w:rPr>
  </w:style>
  <w:style w:type="paragraph" w:customStyle="1" w:styleId="56">
    <w:name w:val="附录表标题"/>
    <w:next w:val="57"/>
    <w:autoRedefine/>
    <w:qFormat/>
    <w:uiPriority w:val="0"/>
    <w:pPr>
      <w:numPr>
        <w:ilvl w:val="0"/>
        <w:numId w:val="1"/>
      </w:numPr>
      <w:tabs>
        <w:tab w:val="left" w:pos="-20"/>
      </w:tabs>
      <w:jc w:val="center"/>
      <w:textAlignment w:val="baseline"/>
    </w:pPr>
    <w:rPr>
      <w:rFonts w:ascii="黑体" w:hAnsi="Times New Roman" w:eastAsia="黑体" w:cs="Times New Roman"/>
      <w:kern w:val="21"/>
      <w:sz w:val="21"/>
      <w:lang w:val="en-US" w:eastAsia="zh-CN" w:bidi="ar-SA"/>
    </w:rPr>
  </w:style>
  <w:style w:type="paragraph" w:customStyle="1" w:styleId="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8">
    <w:name w:val="font21"/>
    <w:basedOn w:val="29"/>
    <w:autoRedefine/>
    <w:qFormat/>
    <w:uiPriority w:val="0"/>
    <w:rPr>
      <w:rFonts w:hint="default" w:ascii="Calibri" w:hAnsi="Calibri" w:cs="Calibri"/>
      <w:color w:val="000000"/>
      <w:sz w:val="21"/>
      <w:szCs w:val="21"/>
      <w:u w:val="none"/>
    </w:rPr>
  </w:style>
  <w:style w:type="paragraph" w:customStyle="1" w:styleId="59">
    <w:name w:val="产业正文"/>
    <w:basedOn w:val="1"/>
    <w:link w:val="60"/>
    <w:autoRedefine/>
    <w:qFormat/>
    <w:uiPriority w:val="0"/>
    <w:pPr>
      <w:widowControl w:val="0"/>
      <w:spacing w:before="120" w:after="120"/>
      <w:ind w:firstLine="560"/>
    </w:pPr>
    <w:rPr>
      <w:rFonts w:ascii="Times New Roman" w:hAnsi="Times New Roman" w:eastAsia="宋体" w:cs="Times New Roman"/>
      <w:szCs w:val="24"/>
    </w:rPr>
  </w:style>
  <w:style w:type="character" w:customStyle="1" w:styleId="60">
    <w:name w:val="产业正文 Char"/>
    <w:link w:val="59"/>
    <w:autoRedefine/>
    <w:qFormat/>
    <w:uiPriority w:val="0"/>
    <w:rPr>
      <w:kern w:val="2"/>
      <w:sz w:val="30"/>
      <w:szCs w:val="24"/>
    </w:rPr>
  </w:style>
  <w:style w:type="paragraph" w:customStyle="1" w:styleId="61">
    <w:name w:val="正文2"/>
    <w:basedOn w:val="1"/>
    <w:autoRedefine/>
    <w:qFormat/>
    <w:uiPriority w:val="0"/>
    <w:pPr>
      <w:widowControl w:val="0"/>
    </w:pPr>
    <w:rPr>
      <w:rFonts w:ascii="Times New Roman" w:hAnsi="Times New Roman" w:cs="Times New Roman"/>
      <w:kern w:val="0"/>
      <w:szCs w:val="24"/>
    </w:rPr>
  </w:style>
  <w:style w:type="character" w:customStyle="1" w:styleId="62">
    <w:name w:val="题注 字符"/>
    <w:link w:val="10"/>
    <w:autoRedefine/>
    <w:qFormat/>
    <w:uiPriority w:val="0"/>
    <w:rPr>
      <w:rFonts w:ascii="黑体" w:hAnsi="黑体" w:eastAsia="黑体"/>
      <w:sz w:val="24"/>
      <w:szCs w:val="28"/>
    </w:rPr>
  </w:style>
  <w:style w:type="paragraph" w:customStyle="1" w:styleId="63">
    <w:name w:val="专栏文字"/>
    <w:basedOn w:val="1"/>
    <w:autoRedefine/>
    <w:qFormat/>
    <w:uiPriority w:val="0"/>
    <w:pPr>
      <w:spacing w:line="400" w:lineRule="exact"/>
    </w:pPr>
    <w:rPr>
      <w:rFonts w:ascii="Times New Roman" w:hAnsi="Times New Roman" w:cs="Times New Roman"/>
      <w:sz w:val="24"/>
      <w:szCs w:val="24"/>
    </w:rPr>
  </w:style>
  <w:style w:type="paragraph" w:customStyle="1" w:styleId="64">
    <w:name w:val="修订1"/>
    <w:autoRedefine/>
    <w:hidden/>
    <w:semiHidden/>
    <w:qFormat/>
    <w:uiPriority w:val="99"/>
    <w:rPr>
      <w:rFonts w:eastAsia="仿宋_GB2312" w:asciiTheme="minorHAnsi" w:hAnsiTheme="minorHAnsi" w:cstheme="minorBidi"/>
      <w:kern w:val="2"/>
      <w:sz w:val="30"/>
      <w:szCs w:val="22"/>
      <w:lang w:val="en-US" w:eastAsia="zh-CN" w:bidi="ar-SA"/>
    </w:rPr>
  </w:style>
  <w:style w:type="character" w:customStyle="1" w:styleId="65">
    <w:name w:val="font81"/>
    <w:basedOn w:val="29"/>
    <w:autoRedefine/>
    <w:qFormat/>
    <w:uiPriority w:val="0"/>
    <w:rPr>
      <w:rFonts w:ascii="Arial" w:hAnsi="Arial" w:cs="Arial"/>
      <w:color w:val="000000"/>
      <w:sz w:val="24"/>
      <w:szCs w:val="24"/>
      <w:u w:val="none"/>
    </w:rPr>
  </w:style>
  <w:style w:type="character" w:customStyle="1" w:styleId="66">
    <w:name w:val="font11"/>
    <w:basedOn w:val="29"/>
    <w:autoRedefine/>
    <w:qFormat/>
    <w:uiPriority w:val="0"/>
    <w:rPr>
      <w:rFonts w:hint="eastAsia" w:ascii="仿宋_GB2312" w:eastAsia="仿宋_GB2312" w:cs="仿宋_GB2312"/>
      <w:b/>
      <w:bCs/>
      <w:color w:val="000000"/>
      <w:sz w:val="21"/>
      <w:szCs w:val="21"/>
      <w:u w:val="none"/>
    </w:rPr>
  </w:style>
  <w:style w:type="character" w:customStyle="1" w:styleId="67">
    <w:name w:val="font61"/>
    <w:basedOn w:val="29"/>
    <w:autoRedefine/>
    <w:qFormat/>
    <w:uiPriority w:val="0"/>
    <w:rPr>
      <w:rFonts w:hint="eastAsia" w:ascii="仿宋_GB2312" w:eastAsia="仿宋_GB2312" w:cs="仿宋_GB2312"/>
      <w:color w:val="000000"/>
      <w:sz w:val="21"/>
      <w:szCs w:val="21"/>
      <w:u w:val="none"/>
    </w:rPr>
  </w:style>
  <w:style w:type="character" w:customStyle="1" w:styleId="68">
    <w:name w:val="font41"/>
    <w:basedOn w:val="29"/>
    <w:autoRedefine/>
    <w:qFormat/>
    <w:uiPriority w:val="0"/>
    <w:rPr>
      <w:rFonts w:hint="eastAsia" w:ascii="仿宋_GB2312" w:eastAsia="仿宋_GB2312" w:cs="仿宋_GB2312"/>
      <w:color w:val="000000"/>
      <w:sz w:val="21"/>
      <w:szCs w:val="21"/>
      <w:u w:val="none"/>
    </w:rPr>
  </w:style>
  <w:style w:type="paragraph" w:customStyle="1" w:styleId="69">
    <w:name w:val="文本 正文"/>
    <w:basedOn w:val="1"/>
    <w:autoRedefine/>
    <w:qFormat/>
    <w:uiPriority w:val="0"/>
    <w:pPr>
      <w:ind w:firstLine="600"/>
    </w:pPr>
    <w:rPr>
      <w:rFonts w:ascii="Times New Roman" w:hAnsi="Times New Roman"/>
      <w:szCs w:val="30"/>
    </w:rPr>
  </w:style>
  <w:style w:type="paragraph" w:customStyle="1" w:styleId="70">
    <w:name w:val="TOC Heading"/>
    <w:basedOn w:val="3"/>
    <w:next w:val="1"/>
    <w:autoRedefine/>
    <w:unhideWhenUsed/>
    <w:qFormat/>
    <w:uiPriority w:val="39"/>
    <w:pPr>
      <w:spacing w:before="240" w:beforeLines="0" w:afterLines="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71">
    <w:name w:val="Unresolved Mention"/>
    <w:basedOn w:val="29"/>
    <w:autoRedefine/>
    <w:semiHidden/>
    <w:unhideWhenUsed/>
    <w:qFormat/>
    <w:uiPriority w:val="99"/>
    <w:rPr>
      <w:color w:val="605E5C"/>
      <w:shd w:val="clear" w:color="auto" w:fill="E1DFDD"/>
    </w:rPr>
  </w:style>
  <w:style w:type="paragraph" w:customStyle="1" w:styleId="72">
    <w:name w:val="WPSOffice手动目录 1"/>
    <w:autoRedefine/>
    <w:qFormat/>
    <w:uiPriority w:val="0"/>
    <w:pPr>
      <w:ind w:leftChars="0"/>
    </w:pPr>
    <w:rPr>
      <w:rFonts w:ascii="Times New Roman" w:hAnsi="Times New Roman" w:eastAsia="宋体" w:cs="Times New Roman"/>
      <w:sz w:val="20"/>
      <w:szCs w:val="20"/>
    </w:rPr>
  </w:style>
  <w:style w:type="paragraph" w:customStyle="1" w:styleId="73">
    <w:name w:val="WPSOffice手动目录 2"/>
    <w:autoRedefine/>
    <w:qFormat/>
    <w:uiPriority w:val="0"/>
    <w:pPr>
      <w:ind w:leftChars="200"/>
    </w:pPr>
    <w:rPr>
      <w:rFonts w:ascii="Times New Roman" w:hAnsi="Times New Roman" w:eastAsia="宋体" w:cs="Times New Roman"/>
      <w:sz w:val="20"/>
      <w:szCs w:val="20"/>
    </w:rPr>
  </w:style>
  <w:style w:type="paragraph" w:customStyle="1" w:styleId="74">
    <w:name w:val="文本正文"/>
    <w:basedOn w:val="1"/>
    <w:qFormat/>
    <w:uiPriority w:val="0"/>
    <w:pPr>
      <w:spacing w:line="600" w:lineRule="exact"/>
      <w:ind w:firstLine="560" w:firstLineChars="200"/>
    </w:pPr>
    <w:rPr>
      <w:rFonts w:ascii="Times New Roman" w:hAnsi="Times New Roman" w:eastAsia="仿宋_GB2312" w:cs="Times New Roman"/>
      <w:sz w:val="30"/>
      <w:szCs w:val="28"/>
    </w:rPr>
  </w:style>
  <w:style w:type="paragraph" w:customStyle="1" w:styleId="75">
    <w:name w:val="三级标题"/>
    <w:basedOn w:val="1"/>
    <w:qFormat/>
    <w:uiPriority w:val="0"/>
    <w:pPr>
      <w:ind w:firstLine="560" w:firstLineChars="200"/>
      <w:outlineLvl w:val="1"/>
    </w:pPr>
    <w:rPr>
      <w:rFonts w:ascii="Times New Roman" w:hAnsi="Times New Roman" w:eastAsia="仿宋_GB2312" w:cs="Times New Roman"/>
      <w:b/>
      <w:bCs/>
      <w:sz w:val="30"/>
      <w:szCs w:val="30"/>
    </w:rPr>
  </w:style>
  <w:style w:type="paragraph" w:customStyle="1" w:styleId="76">
    <w:name w:val="四级标题"/>
    <w:basedOn w:val="1"/>
    <w:qFormat/>
    <w:uiPriority w:val="0"/>
    <w:pPr>
      <w:snapToGrid w:val="0"/>
      <w:spacing w:line="600" w:lineRule="exact"/>
      <w:ind w:firstLine="560" w:firstLineChars="200"/>
    </w:pPr>
    <w:rPr>
      <w:rFonts w:ascii="Times New Roman" w:hAnsi="Times New Roman" w:eastAsia="仿宋_GB2312" w:cs="Times New Roman"/>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theme" Target="theme/theme1.xml"/><Relationship Id="rId27" Type="http://schemas.openxmlformats.org/officeDocument/2006/relationships/header" Target="header17.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0EB2-61CC-4B9E-95D5-209995979C4D}">
  <ds:schemaRefs/>
</ds:datastoreItem>
</file>

<file path=docProps/app.xml><?xml version="1.0" encoding="utf-8"?>
<Properties xmlns="http://schemas.openxmlformats.org/officeDocument/2006/extended-properties" xmlns:vt="http://schemas.openxmlformats.org/officeDocument/2006/docPropsVTypes">
  <Template>Normal</Template>
  <Company>中国用户</Company>
  <Pages>90</Pages>
  <Words>1158</Words>
  <Characters>1250</Characters>
  <Lines>339</Lines>
  <Paragraphs>95</Paragraphs>
  <TotalTime>23</TotalTime>
  <ScaleCrop>false</ScaleCrop>
  <LinksUpToDate>false</LinksUpToDate>
  <CharactersWithSpaces>1464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2023-06-01T03:44:00Z</dcterms:created>
  <dc:creator>Administrator</dc:creator>
  <cp:lastModifiedBy>别</cp:lastModifiedBy>
  <cp:lastPrinted>2023-05-25T07:37:00Z</cp:lastPrinted>
  <dcterms:modified xsi:type="dcterms:W3CDTF">2025-04-07T08:02:16Z</dcterms:modified>
  <cp:revision>468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00E9F6D72F874A15AA97C500AF6C51A7_13</vt:lpwstr>
  </property>
  <property fmtid="{D5CDD505-2E9C-101B-9397-08002B2CF9AE}" pid="4" name="KSOTemplateDocerSaveRecord">
    <vt:lpwstr>eyJoZGlkIjoiODRhNjNiNTkwYjA2ODc5MDUyYzVlOGNhNjFhZjhmMjIiLCJ1c2VySWQiOiI0MDU5NjQ0NTEifQ==</vt:lpwstr>
  </property>
</Properties>
</file>