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
        <w:gridCol w:w="1200"/>
        <w:gridCol w:w="800"/>
        <w:gridCol w:w="1975"/>
        <w:gridCol w:w="826"/>
        <w:gridCol w:w="552"/>
        <w:gridCol w:w="2134"/>
        <w:gridCol w:w="841"/>
        <w:gridCol w:w="625"/>
        <w:gridCol w:w="1636"/>
        <w:gridCol w:w="738"/>
        <w:gridCol w:w="723"/>
        <w:gridCol w:w="855"/>
        <w:gridCol w:w="855"/>
      </w:tblGrid>
      <w:tr w14:paraId="4208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190" w:type="dxa"/>
            <w:gridSpan w:val="14"/>
            <w:tcBorders>
              <w:top w:val="nil"/>
              <w:left w:val="nil"/>
              <w:bottom w:val="nil"/>
              <w:right w:val="nil"/>
            </w:tcBorders>
            <w:noWrap/>
            <w:vAlign w:val="center"/>
          </w:tcPr>
          <w:p w14:paraId="7387120C">
            <w:pP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附件2</w:t>
            </w:r>
          </w:p>
        </w:tc>
      </w:tr>
      <w:tr w14:paraId="028D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190" w:type="dxa"/>
            <w:gridSpan w:val="14"/>
            <w:tcBorders>
              <w:top w:val="nil"/>
              <w:left w:val="nil"/>
              <w:bottom w:val="nil"/>
              <w:right w:val="nil"/>
            </w:tcBorders>
            <w:noWrap/>
            <w:vAlign w:val="center"/>
          </w:tcPr>
          <w:p w14:paraId="2C89536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涉企行政检查事项清单（2025年版）</w:t>
            </w:r>
          </w:p>
        </w:tc>
      </w:tr>
      <w:tr w14:paraId="0C51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90" w:type="dxa"/>
            <w:gridSpan w:val="14"/>
            <w:tcBorders>
              <w:top w:val="nil"/>
              <w:left w:val="nil"/>
              <w:bottom w:val="nil"/>
              <w:right w:val="nil"/>
            </w:tcBorders>
            <w:noWrap/>
            <w:vAlign w:val="center"/>
          </w:tcPr>
          <w:p w14:paraId="48F679B8">
            <w:pPr>
              <w:keepNext w:val="0"/>
              <w:keepLines w:val="0"/>
              <w:widowControl/>
              <w:suppressLineNumbers w:val="0"/>
              <w:jc w:val="left"/>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填报单位： </w:t>
            </w:r>
            <w:bookmarkStart w:id="0" w:name="_GoBack"/>
            <w:r>
              <w:rPr>
                <w:rFonts w:hint="eastAsia" w:ascii="仿宋_GB2312" w:hAnsi="宋体" w:eastAsia="仿宋_GB2312" w:cs="仿宋_GB2312"/>
                <w:i w:val="0"/>
                <w:iCs w:val="0"/>
                <w:color w:val="000000"/>
                <w:kern w:val="0"/>
                <w:sz w:val="32"/>
                <w:szCs w:val="32"/>
                <w:u w:val="none"/>
                <w:lang w:val="en-US" w:eastAsia="zh-CN" w:bidi="ar"/>
              </w:rPr>
              <w:t>凤县应急管理局</w:t>
            </w:r>
            <w:bookmarkEnd w:id="0"/>
            <w:r>
              <w:rPr>
                <w:rFonts w:hint="eastAsia" w:ascii="仿宋_GB2312" w:hAnsi="宋体" w:eastAsia="仿宋_GB2312" w:cs="仿宋_GB2312"/>
                <w:i w:val="0"/>
                <w:iCs w:val="0"/>
                <w:color w:val="000000"/>
                <w:kern w:val="0"/>
                <w:sz w:val="32"/>
                <w:szCs w:val="32"/>
                <w:u w:val="none"/>
                <w:lang w:val="en-US" w:eastAsia="zh-CN" w:bidi="ar"/>
              </w:rPr>
              <w:t xml:space="preserve">                                                                                             </w:t>
            </w:r>
          </w:p>
        </w:tc>
      </w:tr>
      <w:tr w14:paraId="353D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06FAE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2F18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行政检查事项名称</w:t>
            </w:r>
          </w:p>
        </w:tc>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88CA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检查对象</w:t>
            </w:r>
          </w:p>
        </w:tc>
        <w:tc>
          <w:tcPr>
            <w:tcW w:w="33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898D0F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实施依据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4009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检查内容及标准</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690D41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检查方式</w:t>
            </w:r>
          </w:p>
        </w:tc>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1578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联合</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部门</w:t>
            </w:r>
          </w:p>
        </w:tc>
        <w:tc>
          <w:tcPr>
            <w:tcW w:w="1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7B6A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检查</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频次</w:t>
            </w:r>
          </w:p>
        </w:tc>
        <w:tc>
          <w:tcPr>
            <w:tcW w:w="14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AEF04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实施层级</w:t>
            </w:r>
          </w:p>
        </w:tc>
        <w:tc>
          <w:tcPr>
            <w:tcW w:w="17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118FE0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第一责任</w:t>
            </w:r>
          </w:p>
        </w:tc>
      </w:tr>
      <w:tr w14:paraId="01DD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118B1">
            <w:pPr>
              <w:jc w:val="center"/>
              <w:rPr>
                <w:rFonts w:hint="eastAsia" w:ascii="黑体" w:hAnsi="宋体" w:eastAsia="黑体" w:cs="黑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9C9F6">
            <w:pPr>
              <w:jc w:val="center"/>
              <w:rPr>
                <w:rFonts w:hint="eastAsia" w:ascii="黑体" w:hAnsi="宋体" w:eastAsia="黑体" w:cs="黑体"/>
                <w:i w:val="0"/>
                <w:iCs w:val="0"/>
                <w:color w:val="000000"/>
                <w:sz w:val="21"/>
                <w:szCs w:val="21"/>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64E18">
            <w:pPr>
              <w:jc w:val="center"/>
              <w:rPr>
                <w:rFonts w:hint="eastAsia" w:ascii="黑体" w:hAnsi="宋体" w:eastAsia="黑体" w:cs="黑体"/>
                <w:i w:val="0"/>
                <w:iCs w:val="0"/>
                <w:color w:val="000000"/>
                <w:sz w:val="21"/>
                <w:szCs w:val="21"/>
                <w:u w:val="none"/>
              </w:rPr>
            </w:pPr>
          </w:p>
        </w:tc>
        <w:tc>
          <w:tcPr>
            <w:tcW w:w="33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E5603F">
            <w:pPr>
              <w:jc w:val="center"/>
              <w:rPr>
                <w:rFonts w:hint="eastAsia" w:ascii="黑体" w:hAnsi="宋体" w:eastAsia="黑体" w:cs="黑体"/>
                <w:i w:val="0"/>
                <w:iCs w:val="0"/>
                <w:color w:val="000000"/>
                <w:sz w:val="21"/>
                <w:szCs w:val="21"/>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48562">
            <w:pPr>
              <w:jc w:val="center"/>
              <w:rPr>
                <w:rFonts w:hint="eastAsia" w:ascii="黑体" w:hAnsi="宋体" w:eastAsia="黑体" w:cs="黑体"/>
                <w:i w:val="0"/>
                <w:iCs w:val="0"/>
                <w:color w:val="000000"/>
                <w:sz w:val="21"/>
                <w:szCs w:val="21"/>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CAAF5">
            <w:pPr>
              <w:jc w:val="center"/>
              <w:rPr>
                <w:rFonts w:hint="eastAsia" w:ascii="黑体" w:hAnsi="宋体" w:eastAsia="黑体" w:cs="黑体"/>
                <w:i w:val="0"/>
                <w:iCs w:val="0"/>
                <w:color w:val="000000"/>
                <w:sz w:val="21"/>
                <w:szCs w:val="21"/>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D90DD">
            <w:pPr>
              <w:jc w:val="center"/>
              <w:rPr>
                <w:rFonts w:hint="eastAsia" w:ascii="黑体" w:hAnsi="宋体" w:eastAsia="黑体" w:cs="黑体"/>
                <w:i w:val="0"/>
                <w:iCs w:val="0"/>
                <w:color w:val="000000"/>
                <w:sz w:val="21"/>
                <w:szCs w:val="21"/>
                <w:u w:val="none"/>
              </w:rPr>
            </w:pP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CA5A7">
            <w:pPr>
              <w:jc w:val="center"/>
              <w:rPr>
                <w:rFonts w:hint="eastAsia" w:ascii="黑体" w:hAnsi="宋体" w:eastAsia="黑体" w:cs="黑体"/>
                <w:i w:val="0"/>
                <w:iCs w:val="0"/>
                <w:color w:val="000000"/>
                <w:sz w:val="21"/>
                <w:szCs w:val="21"/>
                <w:u w:val="none"/>
              </w:rPr>
            </w:pPr>
          </w:p>
        </w:tc>
        <w:tc>
          <w:tcPr>
            <w:tcW w:w="14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B4E878">
            <w:pPr>
              <w:jc w:val="center"/>
              <w:rPr>
                <w:rFonts w:hint="eastAsia" w:ascii="黑体" w:hAnsi="宋体" w:eastAsia="黑体" w:cs="黑体"/>
                <w:i w:val="0"/>
                <w:iCs w:val="0"/>
                <w:color w:val="000000"/>
                <w:sz w:val="21"/>
                <w:szCs w:val="21"/>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C5130D">
            <w:pPr>
              <w:jc w:val="center"/>
              <w:rPr>
                <w:rFonts w:hint="eastAsia" w:ascii="黑体" w:hAnsi="宋体" w:eastAsia="黑体" w:cs="黑体"/>
                <w:i w:val="0"/>
                <w:iCs w:val="0"/>
                <w:color w:val="000000"/>
                <w:sz w:val="21"/>
                <w:szCs w:val="21"/>
                <w:u w:val="none"/>
              </w:rPr>
            </w:pPr>
          </w:p>
        </w:tc>
      </w:tr>
      <w:tr w14:paraId="6A1A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740C1">
            <w:pPr>
              <w:jc w:val="center"/>
              <w:rPr>
                <w:rFonts w:hint="eastAsia" w:ascii="黑体" w:hAnsi="宋体" w:eastAsia="黑体" w:cs="黑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ACC96">
            <w:pPr>
              <w:jc w:val="center"/>
              <w:rPr>
                <w:rFonts w:hint="eastAsia" w:ascii="黑体" w:hAnsi="宋体" w:eastAsia="黑体" w:cs="黑体"/>
                <w:i w:val="0"/>
                <w:iCs w:val="0"/>
                <w:color w:val="000000"/>
                <w:sz w:val="21"/>
                <w:szCs w:val="21"/>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E8748">
            <w:pPr>
              <w:jc w:val="center"/>
              <w:rPr>
                <w:rFonts w:hint="eastAsia" w:ascii="黑体" w:hAnsi="宋体" w:eastAsia="黑体" w:cs="黑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0"/>
            <w:vAlign w:val="center"/>
          </w:tcPr>
          <w:p w14:paraId="0FA1D3F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5085F6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法规</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4309976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规章</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B0AA2">
            <w:pPr>
              <w:jc w:val="center"/>
              <w:rPr>
                <w:rFonts w:hint="eastAsia" w:ascii="黑体" w:hAnsi="宋体" w:eastAsia="黑体" w:cs="黑体"/>
                <w:i w:val="0"/>
                <w:iCs w:val="0"/>
                <w:color w:val="000000"/>
                <w:sz w:val="21"/>
                <w:szCs w:val="21"/>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2D177">
            <w:pPr>
              <w:jc w:val="center"/>
              <w:rPr>
                <w:rFonts w:hint="eastAsia" w:ascii="黑体" w:hAnsi="宋体" w:eastAsia="黑体" w:cs="黑体"/>
                <w:i w:val="0"/>
                <w:iCs w:val="0"/>
                <w:color w:val="000000"/>
                <w:sz w:val="21"/>
                <w:szCs w:val="21"/>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7C29C">
            <w:pPr>
              <w:jc w:val="center"/>
              <w:rPr>
                <w:rFonts w:hint="eastAsia" w:ascii="黑体" w:hAnsi="宋体" w:eastAsia="黑体" w:cs="黑体"/>
                <w:i w:val="0"/>
                <w:iCs w:val="0"/>
                <w:color w:val="000000"/>
                <w:sz w:val="21"/>
                <w:szCs w:val="21"/>
                <w:u w:val="none"/>
              </w:rPr>
            </w:pP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406A4">
            <w:pPr>
              <w:jc w:val="center"/>
              <w:rPr>
                <w:rFonts w:hint="eastAsia" w:ascii="黑体" w:hAnsi="宋体" w:eastAsia="黑体" w:cs="黑体"/>
                <w:i w:val="0"/>
                <w:iCs w:val="0"/>
                <w:color w:val="000000"/>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342C3D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县</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416441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1D435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75CA4A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乡</w:t>
            </w:r>
          </w:p>
        </w:tc>
      </w:tr>
      <w:tr w14:paraId="0389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5"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14:paraId="38C134B3">
            <w:pPr>
              <w:rPr>
                <w:rFonts w:hint="eastAsia" w:ascii="黑体" w:hAnsi="宋体" w:eastAsia="黑体" w:cs="黑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AFC2475">
            <w:pP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sz w:val="13"/>
                <w:szCs w:val="13"/>
                <w:u w:val="none"/>
                <w:lang w:val="en-US" w:eastAsia="zh-CN"/>
              </w:rPr>
              <w:t>对生产经营单位执行有关安全生产的法律、法规和国家标准或者行业标准的情况进行监督检查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7F42FE1">
            <w:pP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sz w:val="13"/>
                <w:szCs w:val="13"/>
                <w:u w:val="none"/>
              </w:rPr>
              <w:t>县应急管理局</w:t>
            </w:r>
            <w:r>
              <w:rPr>
                <w:rFonts w:hint="eastAsia" w:ascii="黑体" w:hAnsi="黑体" w:eastAsia="黑体" w:cs="黑体"/>
                <w:i w:val="0"/>
                <w:iCs w:val="0"/>
                <w:color w:val="000000"/>
                <w:sz w:val="13"/>
                <w:szCs w:val="13"/>
                <w:u w:val="none"/>
                <w:lang w:val="en-US" w:eastAsia="zh-CN"/>
              </w:rPr>
              <w:t>直接监管的行业企业</w:t>
            </w:r>
            <w:r>
              <w:rPr>
                <w:rFonts w:hint="eastAsia" w:ascii="黑体" w:hAnsi="黑体" w:eastAsia="黑体" w:cs="黑体"/>
                <w:i w:val="0"/>
                <w:iCs w:val="0"/>
                <w:color w:val="000000"/>
                <w:sz w:val="13"/>
                <w:szCs w:val="13"/>
                <w:u w:val="none"/>
              </w:rPr>
              <w:t>（非煤矿山、危险化学品、烟花爆竹、冶金工贸）</w:t>
            </w:r>
          </w:p>
        </w:tc>
        <w:tc>
          <w:tcPr>
            <w:tcW w:w="1975" w:type="dxa"/>
            <w:tcBorders>
              <w:top w:val="single" w:color="000000" w:sz="4" w:space="0"/>
              <w:left w:val="single" w:color="000000" w:sz="4" w:space="0"/>
              <w:bottom w:val="single" w:color="000000" w:sz="4" w:space="0"/>
              <w:right w:val="single" w:color="000000" w:sz="4" w:space="0"/>
            </w:tcBorders>
            <w:noWrap/>
            <w:vAlign w:val="center"/>
          </w:tcPr>
          <w:p w14:paraId="1037927B">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rPr>
              <w:t>《中华人民共和国安全生产法》第六十二条</w:t>
            </w:r>
            <w:r>
              <w:rPr>
                <w:rFonts w:hint="eastAsia" w:ascii="黑体" w:hAnsi="黑体" w:eastAsia="黑体" w:cs="黑体"/>
                <w:i w:val="0"/>
                <w:iCs w:val="0"/>
                <w:color w:val="000000"/>
                <w:sz w:val="11"/>
                <w:szCs w:val="11"/>
                <w:u w:val="none"/>
                <w:lang w:val="en-US" w:eastAsia="zh-CN"/>
              </w:rPr>
              <w:t>第二款“应急管理部门应当按照分类分级监督管理的要求，制定安全生产年度监督检查计划，并按照年度监督检查计划进行监督检查，发现事故隐患，应当及时处理。”</w:t>
            </w:r>
          </w:p>
          <w:p w14:paraId="17A902A7">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14:paraId="4FE937C7">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lang w:val="en-US" w:eastAsia="zh-CN"/>
              </w:rPr>
              <w:t>（一）进入生产经营单位进行检查，调阅有关资料，向有关单位和人员了解情况；</w:t>
            </w:r>
          </w:p>
          <w:p w14:paraId="0668D7CD">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lang w:val="en-US" w:eastAsia="zh-CN"/>
              </w:rPr>
              <w:t>（二）对检查中发现的安全生产违法行为，当场予以纠正或者要求限期改正；对依法应当给予行政处罚的行为，依照本法和其他有关法律、行政法规的规定作出行政处罚决定；</w:t>
            </w:r>
          </w:p>
          <w:p w14:paraId="69570365">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19B73ED">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6FC18313">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黑体" w:hAnsi="黑体" w:eastAsia="黑体" w:cs="黑体"/>
                <w:i w:val="0"/>
                <w:iCs w:val="0"/>
                <w:color w:val="000000"/>
                <w:sz w:val="11"/>
                <w:szCs w:val="11"/>
                <w:u w:val="none"/>
                <w:lang w:val="en-US" w:eastAsia="zh-CN"/>
              </w:rPr>
            </w:pPr>
            <w:r>
              <w:rPr>
                <w:rFonts w:hint="eastAsia" w:ascii="黑体" w:hAnsi="黑体" w:eastAsia="黑体" w:cs="黑体"/>
                <w:i w:val="0"/>
                <w:iCs w:val="0"/>
                <w:color w:val="000000"/>
                <w:sz w:val="11"/>
                <w:szCs w:val="11"/>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noWrap/>
            <w:vAlign w:val="center"/>
          </w:tcPr>
          <w:p w14:paraId="730D3CD3">
            <w:pPr>
              <w:rPr>
                <w:rFonts w:hint="eastAsia" w:ascii="宋体" w:hAnsi="宋体" w:eastAsia="宋体" w:cs="宋体"/>
                <w:i w:val="0"/>
                <w:iCs w:val="0"/>
                <w:color w:val="000000"/>
                <w:sz w:val="11"/>
                <w:szCs w:val="11"/>
                <w:u w:val="none"/>
              </w:rPr>
            </w:pPr>
          </w:p>
        </w:tc>
        <w:tc>
          <w:tcPr>
            <w:tcW w:w="552" w:type="dxa"/>
            <w:tcBorders>
              <w:top w:val="single" w:color="000000" w:sz="4" w:space="0"/>
              <w:left w:val="single" w:color="000000" w:sz="4" w:space="0"/>
              <w:bottom w:val="single" w:color="000000" w:sz="4" w:space="0"/>
              <w:right w:val="single" w:color="000000" w:sz="4" w:space="0"/>
            </w:tcBorders>
            <w:noWrap/>
            <w:vAlign w:val="center"/>
          </w:tcPr>
          <w:p w14:paraId="4B89E42A">
            <w:pPr>
              <w:rPr>
                <w:rFonts w:hint="eastAsia" w:ascii="宋体" w:hAnsi="宋体" w:eastAsia="宋体" w:cs="宋体"/>
                <w:i w:val="0"/>
                <w:iCs w:val="0"/>
                <w:color w:val="000000"/>
                <w:sz w:val="11"/>
                <w:szCs w:val="11"/>
                <w:u w:val="none"/>
              </w:rPr>
            </w:pPr>
          </w:p>
        </w:tc>
        <w:tc>
          <w:tcPr>
            <w:tcW w:w="2134" w:type="dxa"/>
            <w:tcBorders>
              <w:top w:val="single" w:color="000000" w:sz="4" w:space="0"/>
              <w:left w:val="single" w:color="000000" w:sz="4" w:space="0"/>
              <w:bottom w:val="single" w:color="000000" w:sz="4" w:space="0"/>
              <w:right w:val="single" w:color="000000" w:sz="4" w:space="0"/>
            </w:tcBorders>
            <w:noWrap/>
            <w:vAlign w:val="center"/>
          </w:tcPr>
          <w:p w14:paraId="2A6C6D49">
            <w:pPr>
              <w:keepNext w:val="0"/>
              <w:keepLines w:val="0"/>
              <w:pageBreakBefore w:val="0"/>
              <w:widowControl w:val="0"/>
              <w:kinsoku/>
              <w:wordWrap/>
              <w:overflowPunct/>
              <w:topLinePunct w:val="0"/>
              <w:autoSpaceDE/>
              <w:autoSpaceDN/>
              <w:bidi w:val="0"/>
              <w:adjustRightInd/>
              <w:snapToGrid/>
              <w:spacing w:line="140" w:lineRule="exact"/>
              <w:ind w:firstLine="260" w:firstLineChars="200"/>
              <w:textAlignment w:val="auto"/>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sz w:val="13"/>
                <w:szCs w:val="13"/>
                <w:u w:val="none"/>
              </w:rPr>
              <w:t>（一）进入生产经营单位进行检查，调阅有关资料，向有关单位和人员了解情况；</w:t>
            </w:r>
          </w:p>
          <w:p w14:paraId="5C960D20">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sz w:val="13"/>
                <w:szCs w:val="13"/>
                <w:u w:val="none"/>
              </w:rPr>
              <w:t>　　（二）对检查中发现的安全生产违法行为，当场予以纠正或者要求限期改正；对依法应当给予行政处罚的行为，依照本法和其他有关法律、行政法规的规定作出行政处罚决定；</w:t>
            </w:r>
          </w:p>
          <w:p w14:paraId="435EEED7">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sz w:val="13"/>
                <w:szCs w:val="13"/>
                <w:u w:val="none"/>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3A90D1E">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sz w:val="13"/>
                <w:szCs w:val="13"/>
                <w:u w:val="none"/>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79C9D69C">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11"/>
                <w:szCs w:val="11"/>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15B2F12">
            <w:pPr>
              <w:rPr>
                <w:rFonts w:hint="eastAsia" w:ascii="黑体" w:hAnsi="宋体" w:eastAsia="黑体" w:cs="黑体"/>
                <w:i w:val="0"/>
                <w:iCs w:val="0"/>
                <w:color w:val="000000"/>
                <w:sz w:val="21"/>
                <w:szCs w:val="21"/>
                <w:u w:val="none"/>
              </w:rPr>
            </w:pPr>
            <w:r>
              <w:rPr>
                <w:rFonts w:hint="eastAsia" w:ascii="黑体" w:hAnsi="黑体" w:eastAsia="黑体" w:cs="黑体"/>
                <w:i w:val="0"/>
                <w:iCs w:val="0"/>
                <w:color w:val="000000"/>
                <w:kern w:val="0"/>
                <w:sz w:val="24"/>
                <w:szCs w:val="24"/>
                <w:u w:val="none"/>
                <w:lang w:val="en-US" w:eastAsia="zh-CN" w:bidi="ar"/>
              </w:rPr>
              <w:t>现场检 查</w:t>
            </w:r>
            <w:r>
              <w:rPr>
                <w:rFonts w:hint="eastAsia" w:ascii="仿宋_GB2312" w:hAnsi="宋体" w:eastAsia="仿宋_GB2312" w:cs="仿宋_GB2312"/>
                <w:i w:val="0"/>
                <w:iCs w:val="0"/>
                <w:color w:val="000000"/>
                <w:kern w:val="0"/>
                <w:sz w:val="24"/>
                <w:szCs w:val="24"/>
                <w:u w:val="none"/>
                <w:lang w:val="en-US" w:eastAsia="zh-CN" w:bidi="ar"/>
              </w:rPr>
              <w:br w:type="textWrapping"/>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7547FE41">
            <w:pPr>
              <w:rPr>
                <w:rFonts w:hint="eastAsia" w:ascii="黑体" w:hAnsi="宋体" w:eastAsia="黑体" w:cs="黑体"/>
                <w:i w:val="0"/>
                <w:iCs w:val="0"/>
                <w:color w:val="000000"/>
                <w:sz w:val="21"/>
                <w:szCs w:val="21"/>
                <w:u w:val="none"/>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6200350F">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13"/>
                <w:szCs w:val="13"/>
                <w:u w:val="none"/>
              </w:rPr>
            </w:pPr>
            <w:r>
              <w:rPr>
                <w:rFonts w:hint="eastAsia" w:ascii="黑体" w:hAnsi="宋体" w:eastAsia="黑体" w:cs="黑体"/>
                <w:i w:val="0"/>
                <w:iCs w:val="0"/>
                <w:color w:val="000000"/>
                <w:sz w:val="13"/>
                <w:szCs w:val="13"/>
                <w:u w:val="none"/>
              </w:rPr>
              <w:t>1、重点生产经营单位检查</w:t>
            </w:r>
          </w:p>
          <w:p w14:paraId="0606CBA9">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13"/>
                <w:szCs w:val="13"/>
                <w:u w:val="none"/>
                <w:lang w:eastAsia="zh-CN"/>
              </w:rPr>
            </w:pPr>
            <w:r>
              <w:rPr>
                <w:rFonts w:hint="eastAsia" w:ascii="黑体" w:hAnsi="宋体" w:eastAsia="黑体" w:cs="黑体"/>
                <w:i w:val="0"/>
                <w:iCs w:val="0"/>
                <w:color w:val="000000"/>
                <w:sz w:val="13"/>
                <w:szCs w:val="13"/>
                <w:u w:val="none"/>
              </w:rPr>
              <w:t>全年监督检查三</w:t>
            </w:r>
            <w:r>
              <w:rPr>
                <w:rFonts w:hint="eastAsia" w:ascii="黑体" w:hAnsi="宋体" w:eastAsia="黑体" w:cs="黑体"/>
                <w:i w:val="0"/>
                <w:iCs w:val="0"/>
                <w:color w:val="000000"/>
                <w:sz w:val="13"/>
                <w:szCs w:val="13"/>
                <w:u w:val="none"/>
                <w:lang w:val="en-US" w:eastAsia="zh-CN"/>
              </w:rPr>
              <w:t>至四</w:t>
            </w:r>
            <w:r>
              <w:rPr>
                <w:rFonts w:hint="eastAsia" w:ascii="黑体" w:hAnsi="宋体" w:eastAsia="黑体" w:cs="黑体"/>
                <w:i w:val="0"/>
                <w:iCs w:val="0"/>
                <w:color w:val="000000"/>
                <w:sz w:val="13"/>
                <w:szCs w:val="13"/>
                <w:u w:val="none"/>
              </w:rPr>
              <w:t>次</w:t>
            </w:r>
            <w:r>
              <w:rPr>
                <w:rFonts w:hint="eastAsia" w:ascii="黑体" w:hAnsi="宋体" w:eastAsia="黑体" w:cs="黑体"/>
                <w:i w:val="0"/>
                <w:iCs w:val="0"/>
                <w:color w:val="000000"/>
                <w:sz w:val="13"/>
                <w:szCs w:val="13"/>
                <w:u w:val="none"/>
                <w:lang w:eastAsia="zh-CN"/>
              </w:rPr>
              <w:t>。</w:t>
            </w:r>
          </w:p>
          <w:p w14:paraId="75CA496B">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sz w:val="13"/>
                <w:szCs w:val="13"/>
                <w:u w:val="none"/>
              </w:rPr>
              <w:t>2、一般生产经营单位全年监督检查两次，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3B81B48">
            <w:pPr>
              <w:jc w:val="center"/>
              <w:rPr>
                <w:rFonts w:hint="default"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县</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CBA85D8">
            <w:pPr>
              <w:jc w:val="center"/>
              <w:rPr>
                <w:rFonts w:hint="eastAsia" w:ascii="黑体" w:hAnsi="宋体" w:eastAsia="黑体" w:cs="黑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4FD402D">
            <w:pPr>
              <w:jc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sz w:val="21"/>
                <w:szCs w:val="21"/>
                <w:u w:val="none"/>
                <w:lang w:val="en-US" w:eastAsia="zh-CN"/>
              </w:rPr>
              <w:t>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34D6CCF">
            <w:pPr>
              <w:rPr>
                <w:rFonts w:hint="eastAsia" w:ascii="黑体" w:hAnsi="宋体" w:eastAsia="黑体" w:cs="黑体"/>
                <w:i w:val="0"/>
                <w:iCs w:val="0"/>
                <w:color w:val="000000"/>
                <w:sz w:val="21"/>
                <w:szCs w:val="21"/>
                <w:u w:val="none"/>
              </w:rPr>
            </w:pPr>
          </w:p>
        </w:tc>
      </w:tr>
    </w:tbl>
    <w:p w14:paraId="540683AB">
      <w:r>
        <w:rPr>
          <w:rFonts w:hint="eastAsia" w:ascii="宋体" w:hAnsi="宋体" w:eastAsia="宋体" w:cs="宋体"/>
          <w:i w:val="0"/>
          <w:iCs w:val="0"/>
          <w:color w:val="000000"/>
          <w:kern w:val="0"/>
          <w:sz w:val="16"/>
          <w:szCs w:val="16"/>
          <w:u w:val="none"/>
          <w:vertAlign w:val="baseline"/>
          <w:lang w:val="en-US" w:eastAsia="zh-CN" w:bidi="ar"/>
        </w:rPr>
        <w:t>填表说明：1.“行政检查事项名称”应当填写法律法规规章明确的事项；2.“实施依据”须具体到条款项目的内容；3.</w:t>
      </w:r>
      <w:r>
        <w:rPr>
          <w:rFonts w:hint="eastAsia" w:ascii="宋体" w:hAnsi="宋体" w:cs="宋体"/>
          <w:i w:val="0"/>
          <w:iCs w:val="0"/>
          <w:color w:val="000000"/>
          <w:kern w:val="0"/>
          <w:sz w:val="16"/>
          <w:szCs w:val="16"/>
          <w:u w:val="none"/>
          <w:vertAlign w:val="baseline"/>
          <w:lang w:val="en-US" w:eastAsia="zh-CN" w:bidi="ar"/>
        </w:rPr>
        <w:t>县</w:t>
      </w:r>
      <w:r>
        <w:rPr>
          <w:rFonts w:hint="eastAsia" w:ascii="宋体" w:hAnsi="宋体" w:eastAsia="宋体" w:cs="宋体"/>
          <w:i w:val="0"/>
          <w:iCs w:val="0"/>
          <w:color w:val="000000"/>
          <w:kern w:val="0"/>
          <w:sz w:val="16"/>
          <w:szCs w:val="16"/>
          <w:u w:val="none"/>
          <w:vertAlign w:val="baseline"/>
          <w:lang w:val="en-US" w:eastAsia="zh-CN" w:bidi="ar"/>
        </w:rPr>
        <w:t>级部门应对“实施层级”和“第一责任”内容进行明确</w:t>
      </w: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C714D"/>
    <w:rsid w:val="2EFD42BF"/>
    <w:rsid w:val="330C714D"/>
    <w:rsid w:val="5C1263D6"/>
    <w:rsid w:val="794C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2025-03-14T07:15:00Z</dcterms:created>
  <dc:creator>别</dc:creator>
  <cp:lastModifiedBy>别</cp:lastModifiedBy>
  <dcterms:modified xsi:type="dcterms:W3CDTF">2025-03-14T07:15:56Z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FC61913486E546278243218C4D7A3DB1_11</vt:lpwstr>
  </property>
  <property fmtid="{D5CDD505-2E9C-101B-9397-08002B2CF9AE}" pid="4" name="KSOTemplateDocerSaveRecord">
    <vt:lpwstr>eyJoZGlkIjoiOTEwZmMxYWZlNDczZGUxNDZjYjM5ODViZmY2YzYwMDkiLCJ1c2VySWQiOiI0MDU5NjQ0NTEifQ==</vt:lpwstr>
  </property>
</Properties>
</file>