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250"/>
        <w:gridCol w:w="1637"/>
        <w:gridCol w:w="2480"/>
        <w:gridCol w:w="1547"/>
        <w:gridCol w:w="1004"/>
        <w:gridCol w:w="1422"/>
        <w:gridCol w:w="3047"/>
      </w:tblGrid>
      <w:tr w14:paraId="2880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CD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84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06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F0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CF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19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F4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6B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6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8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涉企行政检查频次和上限</w:t>
            </w:r>
            <w:bookmarkEnd w:id="0"/>
          </w:p>
        </w:tc>
      </w:tr>
      <w:tr w14:paraId="040A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10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填报单位：凤县应急管理局                                                                                           </w:t>
            </w:r>
          </w:p>
        </w:tc>
      </w:tr>
      <w:tr w14:paraId="1E1F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行政检查事项名称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是否采用“双随机一公开”方式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联合部门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7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检查频次、上限</w:t>
            </w:r>
          </w:p>
        </w:tc>
        <w:tc>
          <w:tcPr>
            <w:tcW w:w="3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E2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A7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8A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14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D2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96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29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BE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22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E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A3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73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E8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8A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2F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3E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7B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A7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1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6BB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9CF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  <w:t>对生产经营单位执行有关安全生产的法律、法规和国家标准或者行业标准的情况进行监督检查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611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  <w:t>县应急管理局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直接监管的行业企业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  <w:t>（非煤矿山、危险化学品、烟花爆竹、冶金工贸）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25A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年平均检查（3）次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规定年内最多检查（12）次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2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1、重点生产经营单位检查安排</w:t>
            </w:r>
          </w:p>
          <w:p w14:paraId="7DF5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对直接监管的1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家金属非金属矿山企业（含尾矿库），1家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气充装企业，1家烟花爆竹批发企业，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工贸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企业进行重点执法检查。对以上确定的重点检查单位全年监督检查不少于三次，年初、年中、年末分别至少进行一次监督检查。非煤矿山企业按照安全风险等级，依法开展日常安全监管和执法检查，在安全监管和执法检查频次及检查重点事项等方面体现差异化。对于A、B级矿山以自我管理为主，随机抽查为辅；对于C、D级矿山实施重点安全监管，分别每半年、每季度至少开展一次安全生产监督检查。</w:t>
            </w:r>
          </w:p>
          <w:p w14:paraId="2FFC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 xml:space="preserve">2、一般生产经营单位检查安排 </w:t>
            </w:r>
          </w:p>
          <w:p w14:paraId="5905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对直接监管的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14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家金属非金属矿山企业，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家危险化学品经营企业，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17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工贸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  <w:t>企业进行年度执法检查。对以上确定的一般检查单位全年监督检查至少两次，根据实际工作情况上半年和下半年分别进行一次监督检查。</w:t>
            </w:r>
          </w:p>
        </w:tc>
      </w:tr>
      <w:tr w14:paraId="270E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B4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填表说明：1.“行政检查事项名称”应当填写法律法规规章明确的事项</w:t>
            </w:r>
          </w:p>
        </w:tc>
      </w:tr>
    </w:tbl>
    <w:p w14:paraId="4505ADA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3310"/>
    <w:rsid w:val="2EFD42BF"/>
    <w:rsid w:val="58D63310"/>
    <w:rsid w:val="5C1263D6"/>
    <w:rsid w:val="794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2025-03-14T07:20:00Z</dcterms:created>
  <dc:creator>别</dc:creator>
  <cp:lastModifiedBy>别</cp:lastModifiedBy>
  <dcterms:modified xsi:type="dcterms:W3CDTF">2025-03-14T07:20:44Z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8F268743ED7743F383B5C0F15CFAFD8C_11</vt:lpwstr>
  </property>
  <property fmtid="{D5CDD505-2E9C-101B-9397-08002B2CF9AE}" pid="4" name="KSOTemplateDocerSaveRecord">
    <vt:lpwstr>eyJoZGlkIjoiOTEwZmMxYWZlNDczZGUxNDZjYjM5ODViZmY2YzYwMDkiLCJ1c2VySWQiOiI0MDU5NjQ0NTEifQ==</vt:lpwstr>
  </property>
</Properties>
</file>